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4089" w14:textId="7C362960" w:rsidR="00C53BFA" w:rsidRPr="00CF2E0B" w:rsidRDefault="00C53BFA" w:rsidP="00C53BFA">
      <w:pPr>
        <w:pStyle w:val="Pre-title"/>
      </w:pPr>
    </w:p>
    <w:p w14:paraId="1216B23F" w14:textId="51AE4039" w:rsidR="00C53BFA" w:rsidRPr="009966AB" w:rsidRDefault="00C53BFA" w:rsidP="003F021C">
      <w:pPr>
        <w:pStyle w:val="H1"/>
        <w:ind w:right="2070"/>
      </w:pPr>
      <w:bookmarkStart w:id="0" w:name="_mjrr2kp9be2e" w:colFirst="0" w:colLast="0"/>
      <w:bookmarkEnd w:id="0"/>
      <w:r w:rsidRPr="009966AB">
        <w:rPr>
          <w:noProof/>
        </w:rPr>
        <w:drawing>
          <wp:anchor distT="0" distB="0" distL="0" distR="0" simplePos="0" relativeHeight="251659264" behindDoc="0" locked="0" layoutInCell="1" hidden="0" allowOverlap="1" wp14:anchorId="0C0138B3" wp14:editId="25E8E71F">
            <wp:simplePos x="0" y="0"/>
            <wp:positionH relativeFrom="column">
              <wp:posOffset>-962024</wp:posOffset>
            </wp:positionH>
            <wp:positionV relativeFrom="paragraph">
              <wp:posOffset>53975</wp:posOffset>
            </wp:positionV>
            <wp:extent cx="747713" cy="245752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245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B3D46">
        <w:rPr>
          <w:noProof/>
        </w:rPr>
        <w:t>True-up process</w:t>
      </w:r>
    </w:p>
    <w:p w14:paraId="21014079" w14:textId="1D90AD03" w:rsidR="002B3D46" w:rsidRDefault="002B3D46" w:rsidP="002B3D46">
      <w:pPr>
        <w:spacing w:after="200"/>
      </w:pPr>
      <w:r>
        <w:br/>
        <w:t xml:space="preserve">The Ohio Bureau of Workers’ Compensation (BWC) provides workers’ compensation coverage based on </w:t>
      </w:r>
      <w:r w:rsidRPr="002B3D46">
        <w:rPr>
          <w:b/>
          <w:bCs/>
          <w:i/>
          <w:iCs/>
        </w:rPr>
        <w:t>estimated</w:t>
      </w:r>
      <w:r>
        <w:t xml:space="preserve"> payroll. Therefore</w:t>
      </w:r>
      <w:r w:rsidR="00344E55">
        <w:t>,</w:t>
      </w:r>
      <w:r>
        <w:t xml:space="preserve"> at the end of the policy year, BWC asks employers to report their actual payroll for the prior policy year and pay any shortage (or receive a refund for any overage) in premium. This process is called a true-up. If the true-up is not completed timely, the following may occur:</w:t>
      </w:r>
    </w:p>
    <w:p w14:paraId="21F5D4CC" w14:textId="27229146" w:rsidR="002B3D46" w:rsidRDefault="002B3D46" w:rsidP="002B3D46">
      <w:pPr>
        <w:pStyle w:val="ListParagraph"/>
        <w:numPr>
          <w:ilvl w:val="0"/>
          <w:numId w:val="20"/>
        </w:numPr>
      </w:pPr>
      <w:r>
        <w:t>Employer will not be eligible for prior year rebates and incentives</w:t>
      </w:r>
    </w:p>
    <w:p w14:paraId="6EF152CC" w14:textId="53B8CA43" w:rsidR="002B3D46" w:rsidRDefault="002B3D46" w:rsidP="002B3D46">
      <w:pPr>
        <w:pStyle w:val="ListParagraph"/>
        <w:numPr>
          <w:ilvl w:val="0"/>
          <w:numId w:val="20"/>
        </w:numPr>
      </w:pPr>
      <w:r>
        <w:t>Employer will be removed from current year programs</w:t>
      </w:r>
    </w:p>
    <w:p w14:paraId="46B04457" w14:textId="3655B151" w:rsidR="002B3D46" w:rsidRDefault="002B3D46" w:rsidP="002B3D46">
      <w:pPr>
        <w:pStyle w:val="ListParagraph"/>
        <w:numPr>
          <w:ilvl w:val="0"/>
          <w:numId w:val="20"/>
        </w:numPr>
      </w:pPr>
      <w:r>
        <w:t>Employer will become ineligible for programs the following year and will continue to remain ineligible for all future years until all past true-ups are completed.</w:t>
      </w:r>
    </w:p>
    <w:p w14:paraId="00CD1CFE" w14:textId="7ED7ED13" w:rsidR="00344E55" w:rsidRDefault="002B3D46" w:rsidP="002B3D46">
      <w:pPr>
        <w:spacing w:after="200"/>
      </w:pPr>
      <w:r w:rsidRPr="00344E55">
        <w:rPr>
          <w:b/>
          <w:bCs/>
        </w:rPr>
        <w:t>How to report payroll and complete the true-up</w:t>
      </w:r>
      <w:r w:rsidR="00344E55">
        <w:br/>
      </w:r>
      <w:r>
        <w:t>Although employers may contact BWC at (800) OHIO-BWC (800.644.6292) and complete their true-up report over the phone, BWC anticipates high call volumes and long wait times. They strongly encourage employers to complete their true-up report online through their BWC e-account at www.bwc.ohio.gov. If you do not have an e-account, simply select the Create E-Account Link to begin. You will need your BWC policy number and/or Federal Tax Identification Number.</w:t>
      </w:r>
      <w:r w:rsidR="00AF7B9C">
        <w:t xml:space="preserve">  </w:t>
      </w:r>
    </w:p>
    <w:p w14:paraId="55C2F78B" w14:textId="3563C171" w:rsidR="00344E55" w:rsidRPr="00344E55" w:rsidRDefault="00344E55" w:rsidP="00344E55">
      <w:pPr>
        <w:spacing w:after="200"/>
        <w:rPr>
          <w:lang w:val="en-US"/>
        </w:rPr>
      </w:pPr>
      <w:r>
        <w:rPr>
          <w:b/>
          <w:bCs/>
        </w:rPr>
        <w:t>Deadlines</w:t>
      </w:r>
      <w:r>
        <w:br/>
      </w:r>
      <w:r>
        <w:rPr>
          <w:b/>
          <w:bCs/>
          <w:lang w:val="en-US"/>
        </w:rPr>
        <w:t xml:space="preserve">Private employers - </w:t>
      </w:r>
      <w:r w:rsidRPr="00344E55">
        <w:rPr>
          <w:lang w:val="en-US"/>
        </w:rPr>
        <w:t xml:space="preserve">True-up report must be completed and payment received no later than </w:t>
      </w:r>
      <w:r w:rsidRPr="00344E55">
        <w:rPr>
          <w:b/>
          <w:bCs/>
          <w:lang w:val="en-US"/>
        </w:rPr>
        <w:t>August 31, 2025</w:t>
      </w:r>
      <w:r w:rsidRPr="00344E55">
        <w:rPr>
          <w:lang w:val="en-US"/>
        </w:rPr>
        <w:t xml:space="preserve">. </w:t>
      </w:r>
    </w:p>
    <w:p w14:paraId="5AA8F752" w14:textId="1E86344A" w:rsidR="00344E55" w:rsidRDefault="00344E55" w:rsidP="00344E55">
      <w:pPr>
        <w:spacing w:after="200"/>
      </w:pPr>
      <w:r w:rsidRPr="00344E55">
        <w:rPr>
          <w:b/>
          <w:bCs/>
          <w:lang w:val="en-US"/>
        </w:rPr>
        <w:t xml:space="preserve">Please note: </w:t>
      </w:r>
      <w:r w:rsidRPr="00344E55">
        <w:rPr>
          <w:lang w:val="en-US"/>
        </w:rPr>
        <w:t>There is no longer a grace period. True</w:t>
      </w:r>
      <w:r>
        <w:rPr>
          <w:lang w:val="en-US"/>
        </w:rPr>
        <w:t>-u</w:t>
      </w:r>
      <w:r w:rsidRPr="00344E55">
        <w:rPr>
          <w:lang w:val="en-US"/>
        </w:rPr>
        <w:t>p and payment (if owed) must be POSTED by the deadline date.</w:t>
      </w:r>
    </w:p>
    <w:p w14:paraId="5A410F86" w14:textId="4AF178C7" w:rsidR="00AF7B9C" w:rsidRDefault="00AF7B9C" w:rsidP="00AF7B9C">
      <w:pPr>
        <w:spacing w:after="200"/>
      </w:pPr>
      <w:r w:rsidRPr="002E1197">
        <w:rPr>
          <w:rFonts w:cstheme="minorHAnsi"/>
          <w:bCs/>
        </w:rPr>
        <w:t xml:space="preserve">If you have any questions, contact our Sedgwick </w:t>
      </w:r>
      <w:r>
        <w:rPr>
          <w:rFonts w:cstheme="minorHAnsi"/>
          <w:bCs/>
        </w:rPr>
        <w:t xml:space="preserve">program manager, </w:t>
      </w:r>
      <w:r w:rsidR="00401DE4">
        <w:rPr>
          <w:rFonts w:cstheme="minorHAnsi"/>
          <w:bCs/>
        </w:rPr>
        <w:t>Dave Deyo</w:t>
      </w:r>
      <w:r w:rsidRPr="00EB5759">
        <w:rPr>
          <w:rFonts w:cstheme="minorHAnsi"/>
          <w:bCs/>
        </w:rPr>
        <w:t>, at</w:t>
      </w:r>
      <w:r>
        <w:rPr>
          <w:rFonts w:cstheme="minorHAnsi"/>
          <w:bCs/>
        </w:rPr>
        <w:t xml:space="preserve"> </w:t>
      </w:r>
      <w:hyperlink r:id="rId8" w:history="1">
        <w:r w:rsidR="00401DE4" w:rsidRPr="00C45BD0">
          <w:rPr>
            <w:rStyle w:val="Hyperlink"/>
            <w:rFonts w:cstheme="minorHAnsi"/>
            <w:bCs/>
          </w:rPr>
          <w:t>david.deyo@sedgwick.com</w:t>
        </w:r>
      </w:hyperlink>
      <w:r w:rsidR="00401DE4">
        <w:rPr>
          <w:rFonts w:cstheme="minorHAnsi"/>
          <w:bCs/>
        </w:rPr>
        <w:t xml:space="preserve"> </w:t>
      </w:r>
    </w:p>
    <w:p w14:paraId="6F3651FD" w14:textId="5B124C46" w:rsidR="000056A5" w:rsidRPr="00EB0760" w:rsidRDefault="000056A5" w:rsidP="00EB0760">
      <w:pPr>
        <w:spacing w:after="200"/>
        <w:rPr>
          <w:b/>
          <w:bCs/>
        </w:rPr>
      </w:pPr>
    </w:p>
    <w:sectPr w:rsidR="000056A5" w:rsidRPr="00EB0760" w:rsidSect="00156639">
      <w:headerReference w:type="default" r:id="rId9"/>
      <w:footerReference w:type="default" r:id="rId10"/>
      <w:headerReference w:type="first" r:id="rId11"/>
      <w:pgSz w:w="12240" w:h="15840"/>
      <w:pgMar w:top="1440" w:right="1440" w:bottom="720" w:left="1440" w:header="0" w:footer="8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C94F" w14:textId="77777777" w:rsidR="000F39A6" w:rsidRDefault="000F39A6">
      <w:pPr>
        <w:spacing w:after="0" w:line="240" w:lineRule="auto"/>
      </w:pPr>
      <w:r>
        <w:separator/>
      </w:r>
    </w:p>
  </w:endnote>
  <w:endnote w:type="continuationSeparator" w:id="0">
    <w:p w14:paraId="627FD70C" w14:textId="77777777" w:rsidR="000F39A6" w:rsidRDefault="000F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A459" w14:textId="77777777" w:rsidR="000F39A6" w:rsidRPr="001A015F" w:rsidRDefault="000F39A6">
    <w:pPr>
      <w:spacing w:after="0" w:line="240" w:lineRule="auto"/>
      <w:rPr>
        <w:rFonts w:asciiTheme="majorHAnsi" w:hAnsiTheme="majorHAnsi" w:cstheme="majorHAnsi"/>
        <w:b/>
        <w:color w:val="7996B4"/>
        <w:sz w:val="10"/>
        <w:szCs w:val="1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C6E0" w14:textId="77777777" w:rsidR="000F39A6" w:rsidRDefault="000F39A6">
      <w:pPr>
        <w:spacing w:after="0" w:line="240" w:lineRule="auto"/>
      </w:pPr>
      <w:r>
        <w:separator/>
      </w:r>
    </w:p>
  </w:footnote>
  <w:footnote w:type="continuationSeparator" w:id="0">
    <w:p w14:paraId="6F4D0137" w14:textId="77777777" w:rsidR="000F39A6" w:rsidRDefault="000F3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5DA9" w14:textId="77777777" w:rsidR="000F39A6" w:rsidRPr="001A015F" w:rsidRDefault="000F39A6">
    <w:pPr>
      <w:spacing w:after="0"/>
      <w:rPr>
        <w:rFonts w:asciiTheme="majorHAnsi" w:hAnsiTheme="majorHAnsi" w:cstheme="maj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2674" w14:textId="77777777" w:rsidR="000F39A6" w:rsidRPr="001A015F" w:rsidRDefault="00C53BFA">
    <w:pPr>
      <w:spacing w:after="0"/>
      <w:rPr>
        <w:rFonts w:asciiTheme="majorHAnsi" w:hAnsiTheme="majorHAnsi" w:cstheme="majorHAnsi"/>
        <w:sz w:val="16"/>
        <w:szCs w:val="16"/>
      </w:rPr>
    </w:pPr>
    <w:r w:rsidRPr="001A015F">
      <w:rPr>
        <w:rFonts w:asciiTheme="majorHAnsi" w:hAnsiTheme="majorHAnsi" w:cstheme="majorHAnsi"/>
        <w:noProof/>
      </w:rPr>
      <w:drawing>
        <wp:anchor distT="0" distB="0" distL="0" distR="0" simplePos="0" relativeHeight="251659264" behindDoc="0" locked="0" layoutInCell="1" hidden="0" allowOverlap="1" wp14:anchorId="3DA18A0C" wp14:editId="6D2518D5">
          <wp:simplePos x="0" y="0"/>
          <wp:positionH relativeFrom="column">
            <wp:posOffset>-914400</wp:posOffset>
          </wp:positionH>
          <wp:positionV relativeFrom="paragraph">
            <wp:posOffset>-33020</wp:posOffset>
          </wp:positionV>
          <wp:extent cx="7767320" cy="761365"/>
          <wp:effectExtent l="0" t="0" r="0" b="0"/>
          <wp:wrapTopAndBottom distT="0" dist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761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818F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06C37"/>
    <w:multiLevelType w:val="hybridMultilevel"/>
    <w:tmpl w:val="A2FA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C1F13"/>
    <w:multiLevelType w:val="hybridMultilevel"/>
    <w:tmpl w:val="9334958A"/>
    <w:lvl w:ilvl="0" w:tplc="69A41802">
      <w:numFmt w:val="bullet"/>
      <w:lvlText w:val="•"/>
      <w:lvlJc w:val="left"/>
      <w:pPr>
        <w:ind w:left="1080" w:hanging="720"/>
      </w:pPr>
      <w:rPr>
        <w:rFonts w:ascii="Calibri" w:eastAsia="Source Sans Pr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48E8"/>
    <w:multiLevelType w:val="hybridMultilevel"/>
    <w:tmpl w:val="FD1CC4F6"/>
    <w:lvl w:ilvl="0" w:tplc="2FFE79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5570"/>
    <w:multiLevelType w:val="hybridMultilevel"/>
    <w:tmpl w:val="D850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1650D"/>
    <w:multiLevelType w:val="hybridMultilevel"/>
    <w:tmpl w:val="7210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E5975"/>
    <w:multiLevelType w:val="hybridMultilevel"/>
    <w:tmpl w:val="6A9ED0C2"/>
    <w:lvl w:ilvl="0" w:tplc="69A41802">
      <w:numFmt w:val="bullet"/>
      <w:lvlText w:val="•"/>
      <w:lvlJc w:val="left"/>
      <w:pPr>
        <w:ind w:left="1080" w:hanging="720"/>
      </w:pPr>
      <w:rPr>
        <w:rFonts w:ascii="Calibri" w:eastAsia="Source Sans Pr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52CF0"/>
    <w:multiLevelType w:val="hybridMultilevel"/>
    <w:tmpl w:val="9A08D36E"/>
    <w:lvl w:ilvl="0" w:tplc="CF3CD7A6">
      <w:numFmt w:val="bullet"/>
      <w:lvlText w:val="•"/>
      <w:lvlJc w:val="left"/>
      <w:pPr>
        <w:ind w:left="1080" w:hanging="720"/>
      </w:pPr>
      <w:rPr>
        <w:rFonts w:ascii="Calibri" w:eastAsia="Source Sans Pr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C06B5"/>
    <w:multiLevelType w:val="multilevel"/>
    <w:tmpl w:val="19E6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AF706E"/>
    <w:multiLevelType w:val="hybridMultilevel"/>
    <w:tmpl w:val="EA58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825D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E33816"/>
    <w:multiLevelType w:val="hybridMultilevel"/>
    <w:tmpl w:val="CAD2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0262F"/>
    <w:multiLevelType w:val="hybridMultilevel"/>
    <w:tmpl w:val="266C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C7046"/>
    <w:multiLevelType w:val="hybridMultilevel"/>
    <w:tmpl w:val="EFF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A502E"/>
    <w:multiLevelType w:val="hybridMultilevel"/>
    <w:tmpl w:val="6032F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14D2"/>
    <w:multiLevelType w:val="hybridMultilevel"/>
    <w:tmpl w:val="C88C3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D0EDC"/>
    <w:multiLevelType w:val="hybridMultilevel"/>
    <w:tmpl w:val="8CD2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52A53"/>
    <w:multiLevelType w:val="hybridMultilevel"/>
    <w:tmpl w:val="518CC15C"/>
    <w:lvl w:ilvl="0" w:tplc="69A41802">
      <w:numFmt w:val="bullet"/>
      <w:lvlText w:val="•"/>
      <w:lvlJc w:val="left"/>
      <w:pPr>
        <w:ind w:left="1080" w:hanging="720"/>
      </w:pPr>
      <w:rPr>
        <w:rFonts w:ascii="Calibri" w:eastAsia="Source Sans Pro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91FB9"/>
    <w:multiLevelType w:val="hybridMultilevel"/>
    <w:tmpl w:val="4FE8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E0D70"/>
    <w:multiLevelType w:val="hybridMultilevel"/>
    <w:tmpl w:val="AB18280E"/>
    <w:lvl w:ilvl="0" w:tplc="E61207D4">
      <w:numFmt w:val="bullet"/>
      <w:lvlText w:val="•"/>
      <w:lvlJc w:val="left"/>
      <w:pPr>
        <w:ind w:left="720" w:hanging="360"/>
      </w:pPr>
      <w:rPr>
        <w:rFonts w:ascii="Calibri" w:eastAsia="Source Sans Pr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D3220"/>
    <w:multiLevelType w:val="hybridMultilevel"/>
    <w:tmpl w:val="8218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9203B"/>
    <w:multiLevelType w:val="hybridMultilevel"/>
    <w:tmpl w:val="60AC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19501">
    <w:abstractNumId w:val="4"/>
  </w:num>
  <w:num w:numId="2" w16cid:durableId="1133210361">
    <w:abstractNumId w:val="13"/>
  </w:num>
  <w:num w:numId="3" w16cid:durableId="755134298">
    <w:abstractNumId w:val="11"/>
  </w:num>
  <w:num w:numId="4" w16cid:durableId="533883432">
    <w:abstractNumId w:val="1"/>
  </w:num>
  <w:num w:numId="5" w16cid:durableId="319508780">
    <w:abstractNumId w:val="20"/>
  </w:num>
  <w:num w:numId="6" w16cid:durableId="980307121">
    <w:abstractNumId w:val="17"/>
  </w:num>
  <w:num w:numId="7" w16cid:durableId="153107528">
    <w:abstractNumId w:val="2"/>
  </w:num>
  <w:num w:numId="8" w16cid:durableId="1475683133">
    <w:abstractNumId w:val="14"/>
  </w:num>
  <w:num w:numId="9" w16cid:durableId="2104522338">
    <w:abstractNumId w:val="6"/>
  </w:num>
  <w:num w:numId="10" w16cid:durableId="136461327">
    <w:abstractNumId w:val="12"/>
  </w:num>
  <w:num w:numId="11" w16cid:durableId="210968170">
    <w:abstractNumId w:val="19"/>
  </w:num>
  <w:num w:numId="12" w16cid:durableId="2003115738">
    <w:abstractNumId w:val="8"/>
  </w:num>
  <w:num w:numId="13" w16cid:durableId="2145004251">
    <w:abstractNumId w:val="3"/>
  </w:num>
  <w:num w:numId="14" w16cid:durableId="1827013946">
    <w:abstractNumId w:val="5"/>
  </w:num>
  <w:num w:numId="15" w16cid:durableId="1377778442">
    <w:abstractNumId w:val="9"/>
  </w:num>
  <w:num w:numId="16" w16cid:durableId="1084372981">
    <w:abstractNumId w:val="15"/>
  </w:num>
  <w:num w:numId="17" w16cid:durableId="2045254724">
    <w:abstractNumId w:val="18"/>
  </w:num>
  <w:num w:numId="18" w16cid:durableId="922571367">
    <w:abstractNumId w:val="21"/>
  </w:num>
  <w:num w:numId="19" w16cid:durableId="561142839">
    <w:abstractNumId w:val="7"/>
  </w:num>
  <w:num w:numId="20" w16cid:durableId="1993871973">
    <w:abstractNumId w:val="16"/>
  </w:num>
  <w:num w:numId="21" w16cid:durableId="915092358">
    <w:abstractNumId w:val="0"/>
  </w:num>
  <w:num w:numId="22" w16cid:durableId="1214921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FA"/>
    <w:rsid w:val="000056A5"/>
    <w:rsid w:val="00053320"/>
    <w:rsid w:val="00057A9C"/>
    <w:rsid w:val="0009751D"/>
    <w:rsid w:val="000A5088"/>
    <w:rsid w:val="000E283C"/>
    <w:rsid w:val="000F39A6"/>
    <w:rsid w:val="00156639"/>
    <w:rsid w:val="00167DEC"/>
    <w:rsid w:val="00183EC0"/>
    <w:rsid w:val="00185F2B"/>
    <w:rsid w:val="00201E8F"/>
    <w:rsid w:val="002B3D46"/>
    <w:rsid w:val="002D747D"/>
    <w:rsid w:val="003117FC"/>
    <w:rsid w:val="00344E55"/>
    <w:rsid w:val="003D51B6"/>
    <w:rsid w:val="003F021C"/>
    <w:rsid w:val="00401DE4"/>
    <w:rsid w:val="00416A44"/>
    <w:rsid w:val="00482436"/>
    <w:rsid w:val="004A33CB"/>
    <w:rsid w:val="004A6675"/>
    <w:rsid w:val="004C76F5"/>
    <w:rsid w:val="0056182B"/>
    <w:rsid w:val="005A375D"/>
    <w:rsid w:val="005C55C5"/>
    <w:rsid w:val="00650C5D"/>
    <w:rsid w:val="0068539C"/>
    <w:rsid w:val="006866AC"/>
    <w:rsid w:val="007143A3"/>
    <w:rsid w:val="007B6869"/>
    <w:rsid w:val="007D6299"/>
    <w:rsid w:val="007E15F6"/>
    <w:rsid w:val="00835C67"/>
    <w:rsid w:val="00871514"/>
    <w:rsid w:val="00871FED"/>
    <w:rsid w:val="008C3461"/>
    <w:rsid w:val="008E7E9F"/>
    <w:rsid w:val="009429DF"/>
    <w:rsid w:val="009566F1"/>
    <w:rsid w:val="009E6FD9"/>
    <w:rsid w:val="009F0397"/>
    <w:rsid w:val="00AF193B"/>
    <w:rsid w:val="00AF7B9C"/>
    <w:rsid w:val="00B15710"/>
    <w:rsid w:val="00B47DDE"/>
    <w:rsid w:val="00B54368"/>
    <w:rsid w:val="00B7732D"/>
    <w:rsid w:val="00B8743E"/>
    <w:rsid w:val="00C31A96"/>
    <w:rsid w:val="00C51826"/>
    <w:rsid w:val="00C531A9"/>
    <w:rsid w:val="00C53BFA"/>
    <w:rsid w:val="00C5400D"/>
    <w:rsid w:val="00C770AE"/>
    <w:rsid w:val="00C8755F"/>
    <w:rsid w:val="00C91A0B"/>
    <w:rsid w:val="00CF55DD"/>
    <w:rsid w:val="00D41B4B"/>
    <w:rsid w:val="00D454E1"/>
    <w:rsid w:val="00D47F7F"/>
    <w:rsid w:val="00D90A63"/>
    <w:rsid w:val="00D93E3B"/>
    <w:rsid w:val="00DA68FD"/>
    <w:rsid w:val="00E025BA"/>
    <w:rsid w:val="00E34FF8"/>
    <w:rsid w:val="00E675DC"/>
    <w:rsid w:val="00EB0760"/>
    <w:rsid w:val="00EC65CC"/>
    <w:rsid w:val="00ED1F7B"/>
    <w:rsid w:val="00EF1358"/>
    <w:rsid w:val="00EF54B2"/>
    <w:rsid w:val="00EF79A0"/>
    <w:rsid w:val="00F1301C"/>
    <w:rsid w:val="00F5765D"/>
    <w:rsid w:val="00F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15B"/>
  <w15:chartTrackingRefBased/>
  <w15:docId w15:val="{2252DAA4-53DD-A942-B7BF-A399752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FF"/>
    <w:pPr>
      <w:spacing w:after="400" w:line="300" w:lineRule="auto"/>
    </w:pPr>
    <w:rPr>
      <w:rFonts w:eastAsia="Source Sans Pro" w:cs="Source Sans Pro"/>
      <w:sz w:val="20"/>
      <w:szCs w:val="2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FA"/>
    <w:pPr>
      <w:keepNext/>
      <w:keepLines/>
      <w:spacing w:before="400" w:after="200" w:line="240" w:lineRule="auto"/>
      <w:ind w:left="360"/>
      <w:outlineLvl w:val="3"/>
    </w:pPr>
    <w:rPr>
      <w:b/>
      <w:color w:val="292826"/>
      <w:sz w:val="24"/>
      <w:szCs w:val="24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53BFA"/>
    <w:rPr>
      <w:rFonts w:ascii="Source Sans Pro" w:eastAsia="Source Sans Pro" w:hAnsi="Source Sans Pro" w:cs="Source Sans Pro"/>
      <w:b/>
      <w:color w:val="292826"/>
      <w:highlight w:val="white"/>
      <w:lang w:val="en"/>
    </w:rPr>
  </w:style>
  <w:style w:type="paragraph" w:styleId="ListParagraph">
    <w:name w:val="List Paragraph"/>
    <w:basedOn w:val="Normal"/>
    <w:uiPriority w:val="34"/>
    <w:qFormat/>
    <w:rsid w:val="00C53BFA"/>
    <w:pPr>
      <w:spacing w:after="200"/>
      <w:ind w:left="720"/>
      <w:contextualSpacing/>
    </w:pPr>
    <w:rPr>
      <w:rFonts w:asciiTheme="majorHAnsi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FA"/>
    <w:pPr>
      <w:keepNext/>
      <w:keepLines/>
    </w:pPr>
    <w:rPr>
      <w:rFonts w:ascii="Georgia" w:eastAsia="Georgia" w:hAnsi="Georgia" w:cs="Georgia"/>
      <w:i/>
      <w:color w:val="29282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53BFA"/>
    <w:rPr>
      <w:rFonts w:ascii="Georgia" w:eastAsia="Georgia" w:hAnsi="Georgia" w:cs="Georgia"/>
      <w:i/>
      <w:color w:val="292826"/>
      <w:sz w:val="32"/>
      <w:szCs w:val="32"/>
      <w:lang w:val="en"/>
    </w:rPr>
  </w:style>
  <w:style w:type="paragraph" w:styleId="Footer">
    <w:name w:val="footer"/>
    <w:basedOn w:val="Normal"/>
    <w:link w:val="FooterChar"/>
    <w:uiPriority w:val="99"/>
    <w:unhideWhenUsed/>
    <w:rsid w:val="00C5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FA"/>
    <w:rPr>
      <w:rFonts w:ascii="Source Sans Pro" w:eastAsia="Source Sans Pro" w:hAnsi="Source Sans Pro" w:cs="Source Sans Pro"/>
      <w:sz w:val="20"/>
      <w:szCs w:val="20"/>
      <w:lang w:val="en"/>
    </w:rPr>
  </w:style>
  <w:style w:type="paragraph" w:customStyle="1" w:styleId="H1">
    <w:name w:val="H1"/>
    <w:qFormat/>
    <w:rsid w:val="00C53BFA"/>
    <w:pPr>
      <w:spacing w:after="200"/>
      <w:ind w:right="2966"/>
    </w:pPr>
    <w:rPr>
      <w:rFonts w:ascii="Calibri Light" w:eastAsia="Source Sans Pro Light" w:hAnsi="Calibri Light" w:cs="Calibri Light"/>
      <w:color w:val="181D21"/>
      <w:sz w:val="48"/>
      <w:szCs w:val="48"/>
      <w:lang w:val="en"/>
    </w:rPr>
  </w:style>
  <w:style w:type="paragraph" w:customStyle="1" w:styleId="H2">
    <w:name w:val="H2"/>
    <w:basedOn w:val="Normal"/>
    <w:qFormat/>
    <w:rsid w:val="008C3461"/>
    <w:pPr>
      <w:spacing w:before="200" w:after="0"/>
      <w:ind w:right="900"/>
    </w:pPr>
    <w:rPr>
      <w:rFonts w:cstheme="majorHAnsi"/>
      <w:b/>
      <w:color w:val="181D21"/>
      <w:sz w:val="24"/>
      <w:szCs w:val="24"/>
    </w:rPr>
  </w:style>
  <w:style w:type="paragraph" w:customStyle="1" w:styleId="H3">
    <w:name w:val="H3"/>
    <w:basedOn w:val="Normal"/>
    <w:qFormat/>
    <w:rsid w:val="00C53BFA"/>
    <w:pPr>
      <w:spacing w:before="200" w:after="0"/>
      <w:ind w:right="900"/>
    </w:pPr>
    <w:rPr>
      <w:rFonts w:asciiTheme="majorHAnsi" w:hAnsiTheme="majorHAnsi" w:cstheme="majorHAnsi"/>
      <w:b/>
      <w:color w:val="018FC8"/>
      <w:sz w:val="18"/>
      <w:szCs w:val="18"/>
    </w:rPr>
  </w:style>
  <w:style w:type="paragraph" w:customStyle="1" w:styleId="Pre-title">
    <w:name w:val="Pre-title"/>
    <w:basedOn w:val="Heading1"/>
    <w:qFormat/>
    <w:rsid w:val="00FD6BFF"/>
    <w:pPr>
      <w:spacing w:before="0" w:line="276" w:lineRule="auto"/>
      <w:ind w:right="900"/>
    </w:pPr>
    <w:rPr>
      <w:rFonts w:asciiTheme="minorHAnsi" w:eastAsia="Source Sans Pro" w:hAnsiTheme="minorHAnsi" w:cstheme="majorHAnsi"/>
      <w:b/>
      <w:color w:val="018FC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3B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styleId="Header">
    <w:name w:val="header"/>
    <w:basedOn w:val="Normal"/>
    <w:link w:val="HeaderChar"/>
    <w:uiPriority w:val="99"/>
    <w:unhideWhenUsed/>
    <w:rsid w:val="004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F5"/>
    <w:rPr>
      <w:rFonts w:eastAsia="Source Sans Pro" w:cs="Source Sans Pro"/>
      <w:sz w:val="20"/>
      <w:szCs w:val="20"/>
      <w:lang w:val="en"/>
    </w:rPr>
  </w:style>
  <w:style w:type="paragraph" w:styleId="BodyText">
    <w:name w:val="Body Text"/>
    <w:basedOn w:val="Normal"/>
    <w:link w:val="BodyTextChar"/>
    <w:uiPriority w:val="1"/>
    <w:qFormat/>
    <w:rsid w:val="00482436"/>
    <w:pPr>
      <w:widowControl w:val="0"/>
      <w:autoSpaceDE w:val="0"/>
      <w:autoSpaceDN w:val="0"/>
      <w:spacing w:after="0" w:line="240" w:lineRule="auto"/>
    </w:pPr>
    <w:rPr>
      <w:rFonts w:ascii="Source Sans Pro" w:hAnsi="Source Sans Pro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2436"/>
    <w:rPr>
      <w:rFonts w:ascii="Source Sans Pro" w:eastAsia="Source Sans Pro" w:hAnsi="Source Sans Pro" w:cs="Source Sans Pr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75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5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7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deyo@sedgwic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Deyo, David</cp:lastModifiedBy>
  <cp:revision>3</cp:revision>
  <cp:lastPrinted>2021-06-02T18:36:00Z</cp:lastPrinted>
  <dcterms:created xsi:type="dcterms:W3CDTF">2025-07-09T12:49:00Z</dcterms:created>
  <dcterms:modified xsi:type="dcterms:W3CDTF">2025-07-10T18:10:00Z</dcterms:modified>
</cp:coreProperties>
</file>