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068BC675" w:rsidR="00C53BFA" w:rsidRPr="009966AB" w:rsidRDefault="00C53BFA" w:rsidP="00FA4089">
      <w:pPr>
        <w:pStyle w:val="H1"/>
        <w:spacing w:after="400"/>
        <w:ind w:right="261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323723">
        <w:rPr>
          <w:noProof/>
        </w:rPr>
        <w:t>Sedgwick safety services</w:t>
      </w:r>
    </w:p>
    <w:p w14:paraId="66ADC14A" w14:textId="77777777" w:rsidR="00323723" w:rsidRPr="00323723" w:rsidRDefault="00323723" w:rsidP="00323723">
      <w:pPr>
        <w:spacing w:after="120" w:line="276" w:lineRule="auto"/>
        <w:contextualSpacing/>
        <w:rPr>
          <w:rFonts w:cstheme="minorHAnsi"/>
          <w:lang w:val="en-US"/>
        </w:rPr>
      </w:pPr>
      <w:r w:rsidRPr="00323723">
        <w:rPr>
          <w:rFonts w:cstheme="minorHAnsi"/>
          <w:lang w:val="en-US"/>
        </w:rPr>
        <w:t>Did you know the Sedgwick Safety and Loss Prevention Department has safety consultants who can assist you and your company with developing and maintaining an effective safety and risk management program.  Our goal is to provide professional safety consulting services and the resources necessary for employers to minimize risk, prevent injuries and implement an effective, on-going safety program.  The key to a safe workplace starts with a strong and effective safety program.</w:t>
      </w:r>
    </w:p>
    <w:p w14:paraId="32DD1BF6" w14:textId="77777777" w:rsidR="00323723" w:rsidRPr="00323723" w:rsidRDefault="00323723" w:rsidP="00323723">
      <w:pPr>
        <w:spacing w:after="120" w:line="276" w:lineRule="auto"/>
        <w:contextualSpacing/>
        <w:rPr>
          <w:rFonts w:cstheme="minorHAnsi"/>
          <w:lang w:val="en-US"/>
        </w:rPr>
      </w:pPr>
    </w:p>
    <w:p w14:paraId="67866B4E" w14:textId="77777777" w:rsidR="00323723" w:rsidRDefault="00323723" w:rsidP="00323723">
      <w:pPr>
        <w:spacing w:after="120" w:line="276" w:lineRule="auto"/>
        <w:contextualSpacing/>
        <w:rPr>
          <w:rFonts w:cstheme="minorHAnsi"/>
          <w:lang w:val="en-US"/>
        </w:rPr>
      </w:pPr>
      <w:r w:rsidRPr="00323723">
        <w:rPr>
          <w:rFonts w:cstheme="minorHAnsi"/>
          <w:lang w:val="en-US"/>
        </w:rPr>
        <w:t>As a Sedgwick customer, you have access to a wide variety of safety services, including the following:</w:t>
      </w:r>
    </w:p>
    <w:p w14:paraId="3D4B79F9" w14:textId="77777777" w:rsidR="00323723" w:rsidRPr="00323723" w:rsidRDefault="00323723" w:rsidP="00323723">
      <w:pPr>
        <w:spacing w:after="120" w:line="276" w:lineRule="auto"/>
        <w:contextualSpacing/>
        <w:rPr>
          <w:rFonts w:cstheme="minorHAnsi"/>
          <w:lang w:val="en-US"/>
        </w:rPr>
      </w:pPr>
    </w:p>
    <w:p w14:paraId="2ACF7F5B" w14:textId="77777777" w:rsidR="00323723" w:rsidRPr="00323723" w:rsidRDefault="00323723" w:rsidP="00323723">
      <w:pPr>
        <w:spacing w:after="120" w:line="276" w:lineRule="auto"/>
        <w:contextualSpacing/>
        <w:rPr>
          <w:rFonts w:cstheme="minorHAnsi"/>
          <w:lang w:val="en-US"/>
        </w:rPr>
      </w:pPr>
      <w:r w:rsidRPr="00323723">
        <w:rPr>
          <w:rFonts w:cstheme="minorHAnsi"/>
          <w:b/>
          <w:bCs/>
          <w:lang w:val="en-US"/>
        </w:rPr>
        <w:t>OSHA and PERRP Recordkeeping Assistance</w:t>
      </w:r>
      <w:r w:rsidRPr="00323723">
        <w:rPr>
          <w:rFonts w:cstheme="minorHAnsi"/>
          <w:lang w:val="en-US"/>
        </w:rPr>
        <w:t xml:space="preserve"> – Understanding OSHA and PERRP guidelines are sometimes confusing and can be challenging.  We are here to assist you and help you gain a better understanding of the recordkeeping requirements, what injuries are recordable and how to complete the forms.  Many employers, including all public employers, are required to submit their injury and illness information online.  Our experts can provide guidance on this as well.</w:t>
      </w:r>
    </w:p>
    <w:p w14:paraId="75558EBC" w14:textId="77777777" w:rsidR="00323723" w:rsidRPr="00323723" w:rsidRDefault="00323723" w:rsidP="00323723">
      <w:pPr>
        <w:spacing w:after="120" w:line="276" w:lineRule="auto"/>
        <w:contextualSpacing/>
        <w:rPr>
          <w:rFonts w:cstheme="minorHAnsi"/>
          <w:lang w:val="en-US"/>
        </w:rPr>
      </w:pPr>
    </w:p>
    <w:p w14:paraId="6E51C9D7" w14:textId="77777777" w:rsidR="00323723" w:rsidRPr="00323723" w:rsidRDefault="00323723" w:rsidP="00323723">
      <w:pPr>
        <w:spacing w:after="120" w:line="276" w:lineRule="auto"/>
        <w:contextualSpacing/>
        <w:rPr>
          <w:rFonts w:cstheme="minorHAnsi"/>
          <w:lang w:val="en-US"/>
        </w:rPr>
      </w:pPr>
      <w:r w:rsidRPr="00323723">
        <w:rPr>
          <w:rFonts w:cstheme="minorHAnsi"/>
          <w:b/>
          <w:bCs/>
          <w:lang w:val="en-US"/>
        </w:rPr>
        <w:t>High Level Site Inspections</w:t>
      </w:r>
      <w:r w:rsidRPr="00323723">
        <w:rPr>
          <w:rFonts w:cstheme="minorHAnsi"/>
          <w:lang w:val="en-US"/>
        </w:rPr>
        <w:t xml:space="preserve"> – A great way to identify hazards in your workplace is to perform a site inspection.  Sometimes a second set of eyes will help uncover hazards you may have overlooked.  The Sedgwick Safety Department can visit your facility and perform an evaluation to identify opportunities for improvement as well as positive observations.  Upon completion, a detailed report with pictures is provided, along with guidance on implementing corrective actions, if requested.</w:t>
      </w:r>
    </w:p>
    <w:p w14:paraId="52B92D92" w14:textId="77777777" w:rsidR="00323723" w:rsidRPr="00323723" w:rsidRDefault="00323723" w:rsidP="00323723">
      <w:pPr>
        <w:spacing w:after="120" w:line="276" w:lineRule="auto"/>
        <w:contextualSpacing/>
        <w:rPr>
          <w:rFonts w:cstheme="minorHAnsi"/>
          <w:lang w:val="en-US"/>
        </w:rPr>
      </w:pPr>
    </w:p>
    <w:p w14:paraId="25162C9B" w14:textId="77777777" w:rsidR="00323723" w:rsidRPr="00323723" w:rsidRDefault="00323723" w:rsidP="00323723">
      <w:pPr>
        <w:spacing w:after="120" w:line="276" w:lineRule="auto"/>
        <w:contextualSpacing/>
        <w:rPr>
          <w:rFonts w:cstheme="minorHAnsi"/>
          <w:lang w:val="en-US"/>
        </w:rPr>
      </w:pPr>
      <w:r w:rsidRPr="00323723">
        <w:rPr>
          <w:rFonts w:cstheme="minorHAnsi"/>
          <w:b/>
          <w:bCs/>
          <w:lang w:val="en-US"/>
        </w:rPr>
        <w:t>Safety Program Reviews</w:t>
      </w:r>
      <w:r w:rsidRPr="00323723">
        <w:rPr>
          <w:rFonts w:cstheme="minorHAnsi"/>
          <w:lang w:val="en-US"/>
        </w:rPr>
        <w:t xml:space="preserve"> – Based on your industry type and a discussion of your operations, we can help identify what safety policies and programs are applicable.  For those with existing safety programs, we can conduct a high-level review and offer suggestions for improvement.  The Sedgwick Safety Team can also assist with development of these programs and provide templates.</w:t>
      </w:r>
    </w:p>
    <w:p w14:paraId="5EBA05BB" w14:textId="77777777" w:rsidR="00323723" w:rsidRPr="00323723" w:rsidRDefault="00323723" w:rsidP="00323723">
      <w:pPr>
        <w:spacing w:after="120" w:line="276" w:lineRule="auto"/>
        <w:contextualSpacing/>
        <w:rPr>
          <w:rFonts w:cstheme="minorHAnsi"/>
          <w:lang w:val="en-US"/>
        </w:rPr>
      </w:pPr>
    </w:p>
    <w:p w14:paraId="217AC574" w14:textId="77777777" w:rsidR="00323723" w:rsidRPr="00323723" w:rsidRDefault="00323723" w:rsidP="00323723">
      <w:pPr>
        <w:spacing w:after="120" w:line="276" w:lineRule="auto"/>
        <w:contextualSpacing/>
        <w:rPr>
          <w:rFonts w:cstheme="minorHAnsi"/>
          <w:lang w:val="en-US"/>
        </w:rPr>
      </w:pPr>
      <w:r w:rsidRPr="00323723">
        <w:rPr>
          <w:rFonts w:cstheme="minorHAnsi"/>
          <w:b/>
          <w:bCs/>
          <w:lang w:val="en-US"/>
        </w:rPr>
        <w:t>OSHA/PERRP Citation Management</w:t>
      </w:r>
      <w:r w:rsidRPr="00323723">
        <w:rPr>
          <w:rFonts w:cstheme="minorHAnsi"/>
          <w:lang w:val="en-US"/>
        </w:rPr>
        <w:t xml:space="preserve"> - Dealing with OSHA and PERRP inspections and citations can be stressful to any organization, however, proper management is key.  An explanation of the citation process, review of citations and general recommendations can help relieve the stress and provide you with a comfort level to successfully navigate the process.</w:t>
      </w:r>
    </w:p>
    <w:p w14:paraId="7DF5C9E7" w14:textId="77777777" w:rsidR="00323723" w:rsidRPr="00323723" w:rsidRDefault="00323723" w:rsidP="00323723">
      <w:pPr>
        <w:spacing w:after="120" w:line="276" w:lineRule="auto"/>
        <w:contextualSpacing/>
        <w:rPr>
          <w:rFonts w:cstheme="minorHAnsi"/>
          <w:lang w:val="en-US"/>
        </w:rPr>
      </w:pPr>
    </w:p>
    <w:p w14:paraId="594FB028" w14:textId="77777777" w:rsidR="00323723" w:rsidRPr="00323723" w:rsidRDefault="00323723" w:rsidP="00323723">
      <w:pPr>
        <w:spacing w:after="120" w:line="276" w:lineRule="auto"/>
        <w:contextualSpacing/>
        <w:rPr>
          <w:rFonts w:cstheme="minorHAnsi"/>
          <w:lang w:val="en-US"/>
        </w:rPr>
      </w:pPr>
      <w:r w:rsidRPr="00323723">
        <w:rPr>
          <w:rFonts w:cstheme="minorHAnsi"/>
          <w:b/>
          <w:bCs/>
          <w:lang w:val="en-US"/>
        </w:rPr>
        <w:t>Safety Help Desk</w:t>
      </w:r>
      <w:r w:rsidRPr="00323723">
        <w:rPr>
          <w:rFonts w:cstheme="minorHAnsi"/>
          <w:lang w:val="en-US"/>
        </w:rPr>
        <w:t xml:space="preserve"> - Sedgwick customers can contact the safety and loss prevention department by phone or email any time with safety questions, or to request services and materials.  Our Safety Resources website has forms, materials, guidance documents, tool box talks and even pre-recorded webinars available for customer use: https://www.sedgwick.com/ohiotpa/resources. </w:t>
      </w:r>
    </w:p>
    <w:p w14:paraId="6125D781" w14:textId="77777777" w:rsidR="00323723" w:rsidRPr="00323723" w:rsidRDefault="00323723" w:rsidP="00323723">
      <w:pPr>
        <w:spacing w:after="120" w:line="276" w:lineRule="auto"/>
        <w:contextualSpacing/>
        <w:rPr>
          <w:rFonts w:cstheme="minorHAnsi"/>
          <w:lang w:val="en-US"/>
        </w:rPr>
      </w:pPr>
    </w:p>
    <w:p w14:paraId="03C95C10" w14:textId="77777777" w:rsidR="00323723" w:rsidRPr="00323723" w:rsidRDefault="00323723" w:rsidP="00323723">
      <w:pPr>
        <w:spacing w:after="120" w:line="276" w:lineRule="auto"/>
        <w:contextualSpacing/>
        <w:rPr>
          <w:rFonts w:cstheme="minorHAnsi"/>
          <w:lang w:val="en-US"/>
        </w:rPr>
      </w:pPr>
      <w:r w:rsidRPr="00323723">
        <w:rPr>
          <w:rFonts w:cstheme="minorHAnsi"/>
          <w:b/>
          <w:bCs/>
          <w:lang w:val="en-US"/>
        </w:rPr>
        <w:t>Safety Training</w:t>
      </w:r>
      <w:r w:rsidRPr="00323723">
        <w:rPr>
          <w:rFonts w:cstheme="minorHAnsi"/>
          <w:lang w:val="en-US"/>
        </w:rPr>
        <w:t xml:space="preserve"> - Written Safety Programs help identify the company’s procedures on how the program effects their organization but training is key for employees to understand these policies.  The safety department can offer high level training materials or content and/or review existing training materials. Web-based and on-site training is available for a fee.</w:t>
      </w:r>
    </w:p>
    <w:p w14:paraId="5EDD9060" w14:textId="77777777" w:rsidR="00323723" w:rsidRPr="00323723" w:rsidRDefault="00323723" w:rsidP="00323723">
      <w:pPr>
        <w:spacing w:after="120" w:line="276" w:lineRule="auto"/>
        <w:contextualSpacing/>
        <w:rPr>
          <w:rFonts w:cstheme="minorHAnsi"/>
          <w:lang w:val="en-US"/>
        </w:rPr>
      </w:pPr>
    </w:p>
    <w:p w14:paraId="74F8A669" w14:textId="77777777" w:rsidR="00323723" w:rsidRPr="00323723" w:rsidRDefault="00323723" w:rsidP="00323723">
      <w:pPr>
        <w:spacing w:after="120" w:line="276" w:lineRule="auto"/>
        <w:contextualSpacing/>
        <w:rPr>
          <w:rFonts w:cstheme="minorHAnsi"/>
          <w:lang w:val="en-US"/>
        </w:rPr>
      </w:pPr>
      <w:r w:rsidRPr="00323723">
        <w:rPr>
          <w:rFonts w:cstheme="minorHAnsi"/>
          <w:b/>
          <w:bCs/>
          <w:lang w:val="en-US"/>
        </w:rPr>
        <w:t>Injury Trend Reports</w:t>
      </w:r>
      <w:r w:rsidRPr="00323723">
        <w:rPr>
          <w:rFonts w:cstheme="minorHAnsi"/>
          <w:lang w:val="en-US"/>
        </w:rPr>
        <w:t xml:space="preserve"> - One of the most effective ways to determine hazards in your workplace is to evaluate injury trends.  A Risk Analysis report prepared by the Safety Department can help your organization determine your most frequently occurring injury causes and the most costly.  The findings in this report can help you most effectively allocate your safety resources.</w:t>
      </w:r>
    </w:p>
    <w:p w14:paraId="0CB768B6" w14:textId="77777777" w:rsidR="00323723" w:rsidRDefault="00323723" w:rsidP="00323723">
      <w:pPr>
        <w:spacing w:after="120" w:line="276" w:lineRule="auto"/>
        <w:contextualSpacing/>
        <w:rPr>
          <w:rFonts w:cstheme="minorHAnsi"/>
          <w:lang w:val="en-US"/>
        </w:rPr>
      </w:pPr>
      <w:r w:rsidRPr="00323723">
        <w:rPr>
          <w:rFonts w:cstheme="minorHAnsi"/>
          <w:b/>
          <w:bCs/>
          <w:lang w:val="en-US"/>
        </w:rPr>
        <w:lastRenderedPageBreak/>
        <w:t>Follow-Up</w:t>
      </w:r>
      <w:r w:rsidRPr="00323723">
        <w:rPr>
          <w:rFonts w:cstheme="minorHAnsi"/>
          <w:lang w:val="en-US"/>
        </w:rPr>
        <w:t xml:space="preserve"> – We like to stay in touch with our customers and follow up on reports, emails and recommendations that may require further action.  Our goal is to be your partner and help you throughout the process, and not just to provide a report and move on. </w:t>
      </w:r>
    </w:p>
    <w:p w14:paraId="02150DCC" w14:textId="139315C8" w:rsidR="00323723" w:rsidRPr="00323723" w:rsidRDefault="00323723" w:rsidP="00323723">
      <w:pPr>
        <w:spacing w:after="120" w:line="276" w:lineRule="auto"/>
        <w:contextualSpacing/>
        <w:rPr>
          <w:rFonts w:cstheme="minorHAnsi"/>
          <w:lang w:val="en-US"/>
        </w:rPr>
      </w:pPr>
      <w:r w:rsidRPr="00323723">
        <w:rPr>
          <w:rFonts w:cstheme="minorHAnsi"/>
          <w:lang w:val="en-US"/>
        </w:rPr>
        <w:t xml:space="preserve"> </w:t>
      </w:r>
    </w:p>
    <w:p w14:paraId="470E4899" w14:textId="7338B36E" w:rsidR="00323723" w:rsidRPr="00323723" w:rsidRDefault="00323723" w:rsidP="00323723">
      <w:pPr>
        <w:spacing w:after="120" w:line="276" w:lineRule="auto"/>
        <w:contextualSpacing/>
        <w:rPr>
          <w:rFonts w:cstheme="minorHAnsi"/>
          <w:lang w:val="en-US"/>
        </w:rPr>
      </w:pPr>
      <w:r w:rsidRPr="00323723">
        <w:rPr>
          <w:rFonts w:cstheme="minorHAnsi"/>
          <w:lang w:val="en-US"/>
        </w:rPr>
        <w:t>These are just some of the services that the Sedgwick Safety and Loss Prevention Department offers to our customers.  These high-level services are provided at no additional cost to TPA customers, however there are fee-based services available as well, such as:</w:t>
      </w:r>
    </w:p>
    <w:p w14:paraId="0A03E1A3" w14:textId="77777777" w:rsidR="00323723" w:rsidRPr="00323723" w:rsidRDefault="00323723" w:rsidP="00323723">
      <w:pPr>
        <w:pStyle w:val="ListParagraph"/>
        <w:numPr>
          <w:ilvl w:val="0"/>
          <w:numId w:val="38"/>
        </w:numPr>
        <w:spacing w:after="120" w:line="276" w:lineRule="auto"/>
        <w:rPr>
          <w:rFonts w:cstheme="minorHAnsi"/>
          <w:lang w:val="en-US"/>
        </w:rPr>
      </w:pPr>
      <w:r w:rsidRPr="00323723">
        <w:rPr>
          <w:rFonts w:cstheme="minorHAnsi"/>
          <w:lang w:val="en-US"/>
        </w:rPr>
        <w:t>Industrial Hygiene Monitoring</w:t>
      </w:r>
    </w:p>
    <w:p w14:paraId="51F3EBB4" w14:textId="77777777" w:rsidR="00323723" w:rsidRPr="00323723" w:rsidRDefault="00323723" w:rsidP="00323723">
      <w:pPr>
        <w:pStyle w:val="ListParagraph"/>
        <w:numPr>
          <w:ilvl w:val="0"/>
          <w:numId w:val="38"/>
        </w:numPr>
        <w:spacing w:after="120" w:line="276" w:lineRule="auto"/>
        <w:rPr>
          <w:rFonts w:cstheme="minorHAnsi"/>
          <w:lang w:val="en-US"/>
        </w:rPr>
      </w:pPr>
      <w:r w:rsidRPr="00323723">
        <w:rPr>
          <w:rFonts w:cstheme="minorHAnsi"/>
          <w:lang w:val="en-US"/>
        </w:rPr>
        <w:t>Noise Monitoring</w:t>
      </w:r>
    </w:p>
    <w:p w14:paraId="15A628CB" w14:textId="77777777" w:rsidR="00323723" w:rsidRPr="00323723" w:rsidRDefault="00323723" w:rsidP="00323723">
      <w:pPr>
        <w:pStyle w:val="ListParagraph"/>
        <w:numPr>
          <w:ilvl w:val="0"/>
          <w:numId w:val="38"/>
        </w:numPr>
        <w:spacing w:after="120" w:line="276" w:lineRule="auto"/>
        <w:rPr>
          <w:rFonts w:cstheme="minorHAnsi"/>
          <w:lang w:val="en-US"/>
        </w:rPr>
      </w:pPr>
      <w:r w:rsidRPr="00323723">
        <w:rPr>
          <w:rFonts w:cstheme="minorHAnsi"/>
          <w:lang w:val="en-US"/>
        </w:rPr>
        <w:t>Company Specific Safety Policy Development</w:t>
      </w:r>
    </w:p>
    <w:p w14:paraId="2277A367" w14:textId="77777777" w:rsidR="00323723" w:rsidRPr="00323723" w:rsidRDefault="00323723" w:rsidP="00323723">
      <w:pPr>
        <w:pStyle w:val="ListParagraph"/>
        <w:numPr>
          <w:ilvl w:val="0"/>
          <w:numId w:val="38"/>
        </w:numPr>
        <w:spacing w:after="120" w:line="276" w:lineRule="auto"/>
        <w:rPr>
          <w:rFonts w:cstheme="minorHAnsi"/>
          <w:lang w:val="en-US"/>
        </w:rPr>
      </w:pPr>
      <w:r w:rsidRPr="00323723">
        <w:rPr>
          <w:rFonts w:cstheme="minorHAnsi"/>
          <w:lang w:val="en-US"/>
        </w:rPr>
        <w:t>Job Hazard Analysis</w:t>
      </w:r>
    </w:p>
    <w:p w14:paraId="62C46DF9" w14:textId="77777777" w:rsidR="00323723" w:rsidRPr="00323723" w:rsidRDefault="00323723" w:rsidP="00323723">
      <w:pPr>
        <w:pStyle w:val="ListParagraph"/>
        <w:numPr>
          <w:ilvl w:val="0"/>
          <w:numId w:val="38"/>
        </w:numPr>
        <w:spacing w:after="120" w:line="276" w:lineRule="auto"/>
        <w:rPr>
          <w:rFonts w:cstheme="minorHAnsi"/>
          <w:lang w:val="en-US"/>
        </w:rPr>
      </w:pPr>
      <w:r w:rsidRPr="00323723">
        <w:rPr>
          <w:rFonts w:cstheme="minorHAnsi"/>
          <w:lang w:val="en-US"/>
        </w:rPr>
        <w:t>Personal Protection Equipment Evaluation</w:t>
      </w:r>
    </w:p>
    <w:p w14:paraId="24BBD535" w14:textId="77777777" w:rsidR="00323723" w:rsidRPr="00323723" w:rsidRDefault="00323723" w:rsidP="00323723">
      <w:pPr>
        <w:pStyle w:val="ListParagraph"/>
        <w:numPr>
          <w:ilvl w:val="0"/>
          <w:numId w:val="38"/>
        </w:numPr>
        <w:spacing w:after="120" w:line="276" w:lineRule="auto"/>
        <w:rPr>
          <w:rFonts w:cstheme="minorHAnsi"/>
          <w:lang w:val="en-US"/>
        </w:rPr>
      </w:pPr>
      <w:r w:rsidRPr="00323723">
        <w:rPr>
          <w:rFonts w:cstheme="minorHAnsi"/>
          <w:lang w:val="en-US"/>
        </w:rPr>
        <w:t>Employees Safety Training (in-person or virtual)</w:t>
      </w:r>
    </w:p>
    <w:p w14:paraId="54EF0D5F" w14:textId="77777777" w:rsidR="00323723" w:rsidRPr="00323723" w:rsidRDefault="00323723" w:rsidP="00323723">
      <w:pPr>
        <w:spacing w:after="120" w:line="276" w:lineRule="auto"/>
        <w:contextualSpacing/>
        <w:rPr>
          <w:rFonts w:cstheme="minorHAnsi"/>
          <w:lang w:val="en-US"/>
        </w:rPr>
      </w:pPr>
    </w:p>
    <w:p w14:paraId="71E0DB69" w14:textId="77777777" w:rsidR="00323723" w:rsidRPr="00323723" w:rsidRDefault="00323723" w:rsidP="00323723">
      <w:pPr>
        <w:spacing w:after="120" w:line="276" w:lineRule="auto"/>
        <w:contextualSpacing/>
        <w:rPr>
          <w:rFonts w:cstheme="minorHAnsi"/>
          <w:lang w:val="en-US"/>
        </w:rPr>
      </w:pPr>
      <w:r w:rsidRPr="00323723">
        <w:rPr>
          <w:rFonts w:cstheme="minorHAnsi"/>
          <w:lang w:val="en-US"/>
        </w:rPr>
        <w:t>A cost estimate will be provided for any fee-based services requested.</w:t>
      </w:r>
    </w:p>
    <w:p w14:paraId="5A4E4C8B" w14:textId="77777777" w:rsidR="00323723" w:rsidRPr="00323723" w:rsidRDefault="00323723" w:rsidP="00323723">
      <w:pPr>
        <w:spacing w:after="120" w:line="276" w:lineRule="auto"/>
        <w:contextualSpacing/>
        <w:rPr>
          <w:rFonts w:cstheme="minorHAnsi"/>
          <w:lang w:val="en-US"/>
        </w:rPr>
      </w:pPr>
    </w:p>
    <w:p w14:paraId="0DF1331C" w14:textId="424B4D3F" w:rsidR="000216CD" w:rsidRDefault="00323723" w:rsidP="00323723">
      <w:pPr>
        <w:spacing w:after="120" w:line="276" w:lineRule="auto"/>
        <w:contextualSpacing/>
        <w:rPr>
          <w:rFonts w:cstheme="minorHAnsi"/>
          <w:bCs/>
        </w:rPr>
      </w:pPr>
      <w:r w:rsidRPr="00323723">
        <w:rPr>
          <w:rFonts w:cstheme="minorHAnsi"/>
          <w:lang w:val="en-US"/>
        </w:rPr>
        <w:t>If you would like to know more about Sedgwick’s safety services or would like to schedule a confidential consultation, please contact Andy Sawan at andrew.sawan@sedgwick.com or 330</w:t>
      </w:r>
      <w:r>
        <w:rPr>
          <w:rFonts w:cstheme="minorHAnsi"/>
          <w:lang w:val="en-US"/>
        </w:rPr>
        <w:t>.</w:t>
      </w:r>
      <w:r w:rsidRPr="00323723">
        <w:rPr>
          <w:rFonts w:cstheme="minorHAnsi"/>
          <w:lang w:val="en-US"/>
        </w:rPr>
        <w:t>819</w:t>
      </w:r>
      <w:r>
        <w:rPr>
          <w:rFonts w:cstheme="minorHAnsi"/>
          <w:lang w:val="en-US"/>
        </w:rPr>
        <w:t>.</w:t>
      </w:r>
      <w:r w:rsidRPr="00323723">
        <w:rPr>
          <w:rFonts w:cstheme="minorHAnsi"/>
          <w:lang w:val="en-US"/>
        </w:rPr>
        <w:t>4728.</w:t>
      </w:r>
    </w:p>
    <w:sectPr w:rsidR="000216CD"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6A2E" w14:textId="77777777" w:rsidR="00871514" w:rsidRDefault="00871514">
      <w:pPr>
        <w:spacing w:after="0" w:line="240" w:lineRule="auto"/>
      </w:pPr>
      <w:r>
        <w:separator/>
      </w:r>
    </w:p>
  </w:endnote>
  <w:endnote w:type="continuationSeparator" w:id="0">
    <w:p w14:paraId="746712B5" w14:textId="77777777" w:rsidR="00871514" w:rsidRDefault="0087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F7A0C" w:rsidRPr="001A015F" w:rsidRDefault="000F7A0C">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485E" w14:textId="77777777" w:rsidR="00871514" w:rsidRDefault="00871514">
      <w:pPr>
        <w:spacing w:after="0" w:line="240" w:lineRule="auto"/>
      </w:pPr>
      <w:r>
        <w:separator/>
      </w:r>
    </w:p>
  </w:footnote>
  <w:footnote w:type="continuationSeparator" w:id="0">
    <w:p w14:paraId="18EB38D7" w14:textId="77777777" w:rsidR="00871514" w:rsidRDefault="00871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F7A0C" w:rsidRPr="001A015F" w:rsidRDefault="000F7A0C">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F7A0C"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AFC"/>
    <w:multiLevelType w:val="hybridMultilevel"/>
    <w:tmpl w:val="6ED0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92AF4"/>
    <w:multiLevelType w:val="hybridMultilevel"/>
    <w:tmpl w:val="0C3A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F1C08"/>
    <w:multiLevelType w:val="hybridMultilevel"/>
    <w:tmpl w:val="130C1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013F"/>
    <w:multiLevelType w:val="hybridMultilevel"/>
    <w:tmpl w:val="E6AA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11364"/>
    <w:multiLevelType w:val="hybridMultilevel"/>
    <w:tmpl w:val="2D88F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86163"/>
    <w:multiLevelType w:val="hybridMultilevel"/>
    <w:tmpl w:val="AE46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8085D"/>
    <w:multiLevelType w:val="hybridMultilevel"/>
    <w:tmpl w:val="2A6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4058D"/>
    <w:multiLevelType w:val="hybridMultilevel"/>
    <w:tmpl w:val="334E89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33644"/>
    <w:multiLevelType w:val="hybridMultilevel"/>
    <w:tmpl w:val="09568B62"/>
    <w:lvl w:ilvl="0" w:tplc="FA16D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0B41C7"/>
    <w:multiLevelType w:val="hybridMultilevel"/>
    <w:tmpl w:val="4BA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B2CE6"/>
    <w:multiLevelType w:val="hybridMultilevel"/>
    <w:tmpl w:val="55D8D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14B53"/>
    <w:multiLevelType w:val="hybridMultilevel"/>
    <w:tmpl w:val="EA3A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E450D"/>
    <w:multiLevelType w:val="hybridMultilevel"/>
    <w:tmpl w:val="0CCEBACA"/>
    <w:lvl w:ilvl="0" w:tplc="481CC4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D00DD8"/>
    <w:multiLevelType w:val="hybridMultilevel"/>
    <w:tmpl w:val="893AE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F0CB2"/>
    <w:multiLevelType w:val="hybridMultilevel"/>
    <w:tmpl w:val="6DD05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C5BC0"/>
    <w:multiLevelType w:val="hybridMultilevel"/>
    <w:tmpl w:val="1E9C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22929"/>
    <w:multiLevelType w:val="hybridMultilevel"/>
    <w:tmpl w:val="A04A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D64EF"/>
    <w:multiLevelType w:val="hybridMultilevel"/>
    <w:tmpl w:val="E898B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32FD7"/>
    <w:multiLevelType w:val="hybridMultilevel"/>
    <w:tmpl w:val="21727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21D8F"/>
    <w:multiLevelType w:val="hybridMultilevel"/>
    <w:tmpl w:val="8C6224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90FEF"/>
    <w:multiLevelType w:val="multilevel"/>
    <w:tmpl w:val="3F0C175A"/>
    <w:lvl w:ilvl="0">
      <w:start w:val="1"/>
      <w:numFmt w:val="decimal"/>
      <w:lvlText w:val="%1."/>
      <w:lvlJc w:val="left"/>
      <w:pPr>
        <w:tabs>
          <w:tab w:val="num" w:pos="720"/>
        </w:tabs>
        <w:ind w:left="720" w:hanging="360"/>
      </w:pPr>
      <w:rPr>
        <w:rFonts w:asciiTheme="minorHAnsi" w:eastAsiaTheme="minorHAnsi" w:hAnsiTheme="minorHAnsi" w:cstheme="minorBid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9C15FF"/>
    <w:multiLevelType w:val="hybridMultilevel"/>
    <w:tmpl w:val="BA9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866D9"/>
    <w:multiLevelType w:val="hybridMultilevel"/>
    <w:tmpl w:val="CAF6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120B9"/>
    <w:multiLevelType w:val="hybridMultilevel"/>
    <w:tmpl w:val="290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11B3D"/>
    <w:multiLevelType w:val="hybridMultilevel"/>
    <w:tmpl w:val="49C20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D33BB"/>
    <w:multiLevelType w:val="hybridMultilevel"/>
    <w:tmpl w:val="04BC06D6"/>
    <w:lvl w:ilvl="0" w:tplc="39DE6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1037C2"/>
    <w:multiLevelType w:val="hybridMultilevel"/>
    <w:tmpl w:val="AC58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B1471"/>
    <w:multiLevelType w:val="hybridMultilevel"/>
    <w:tmpl w:val="CA9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428AA"/>
    <w:multiLevelType w:val="hybridMultilevel"/>
    <w:tmpl w:val="3FB442B4"/>
    <w:lvl w:ilvl="0" w:tplc="34808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0514EA"/>
    <w:multiLevelType w:val="hybridMultilevel"/>
    <w:tmpl w:val="F486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8437F"/>
    <w:multiLevelType w:val="hybridMultilevel"/>
    <w:tmpl w:val="2096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237537"/>
    <w:multiLevelType w:val="hybridMultilevel"/>
    <w:tmpl w:val="1070EC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F96377"/>
    <w:multiLevelType w:val="hybridMultilevel"/>
    <w:tmpl w:val="3F70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245E0"/>
    <w:multiLevelType w:val="hybridMultilevel"/>
    <w:tmpl w:val="0C00AF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0D63B3"/>
    <w:multiLevelType w:val="hybridMultilevel"/>
    <w:tmpl w:val="1DB6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046723">
    <w:abstractNumId w:val="6"/>
  </w:num>
  <w:num w:numId="2" w16cid:durableId="752043258">
    <w:abstractNumId w:val="21"/>
  </w:num>
  <w:num w:numId="3" w16cid:durableId="481968267">
    <w:abstractNumId w:val="20"/>
  </w:num>
  <w:num w:numId="4" w16cid:durableId="478155322">
    <w:abstractNumId w:val="24"/>
  </w:num>
  <w:num w:numId="5" w16cid:durableId="449595168">
    <w:abstractNumId w:val="16"/>
  </w:num>
  <w:num w:numId="6" w16cid:durableId="1033992418">
    <w:abstractNumId w:val="7"/>
  </w:num>
  <w:num w:numId="7" w16cid:durableId="1995334013">
    <w:abstractNumId w:val="27"/>
  </w:num>
  <w:num w:numId="8" w16cid:durableId="1521317511">
    <w:abstractNumId w:val="30"/>
  </w:num>
  <w:num w:numId="9" w16cid:durableId="1114137713">
    <w:abstractNumId w:val="26"/>
  </w:num>
  <w:num w:numId="10" w16cid:durableId="1513110075">
    <w:abstractNumId w:val="25"/>
  </w:num>
  <w:num w:numId="11" w16cid:durableId="939146990">
    <w:abstractNumId w:val="4"/>
  </w:num>
  <w:num w:numId="12" w16cid:durableId="972056187">
    <w:abstractNumId w:val="36"/>
  </w:num>
  <w:num w:numId="13" w16cid:durableId="350381953">
    <w:abstractNumId w:val="15"/>
  </w:num>
  <w:num w:numId="14" w16cid:durableId="193811479">
    <w:abstractNumId w:val="10"/>
  </w:num>
  <w:num w:numId="15" w16cid:durableId="1979724489">
    <w:abstractNumId w:val="34"/>
  </w:num>
  <w:num w:numId="16" w16cid:durableId="420489481">
    <w:abstractNumId w:val="8"/>
  </w:num>
  <w:num w:numId="17" w16cid:durableId="1527867201">
    <w:abstractNumId w:val="5"/>
  </w:num>
  <w:num w:numId="18" w16cid:durableId="1556161124">
    <w:abstractNumId w:val="11"/>
  </w:num>
  <w:num w:numId="19" w16cid:durableId="188101902">
    <w:abstractNumId w:val="3"/>
  </w:num>
  <w:num w:numId="20" w16cid:durableId="985623900">
    <w:abstractNumId w:val="0"/>
  </w:num>
  <w:num w:numId="21" w16cid:durableId="1350181218">
    <w:abstractNumId w:val="37"/>
  </w:num>
  <w:num w:numId="22" w16cid:durableId="1743941283">
    <w:abstractNumId w:val="18"/>
  </w:num>
  <w:num w:numId="23" w16cid:durableId="246890674">
    <w:abstractNumId w:val="28"/>
  </w:num>
  <w:num w:numId="24" w16cid:durableId="1143959673">
    <w:abstractNumId w:val="13"/>
  </w:num>
  <w:num w:numId="25" w16cid:durableId="997729210">
    <w:abstractNumId w:val="35"/>
  </w:num>
  <w:num w:numId="26" w16cid:durableId="1706708315">
    <w:abstractNumId w:val="29"/>
  </w:num>
  <w:num w:numId="27" w16cid:durableId="1785231062">
    <w:abstractNumId w:val="9"/>
  </w:num>
  <w:num w:numId="28" w16cid:durableId="1583761573">
    <w:abstractNumId w:val="31"/>
  </w:num>
  <w:num w:numId="29" w16cid:durableId="2090614409">
    <w:abstractNumId w:val="33"/>
  </w:num>
  <w:num w:numId="30" w16cid:durableId="645623405">
    <w:abstractNumId w:val="12"/>
  </w:num>
  <w:num w:numId="31" w16cid:durableId="217664404">
    <w:abstractNumId w:val="17"/>
  </w:num>
  <w:num w:numId="32" w16cid:durableId="36709496">
    <w:abstractNumId w:val="19"/>
  </w:num>
  <w:num w:numId="33" w16cid:durableId="436869971">
    <w:abstractNumId w:val="1"/>
  </w:num>
  <w:num w:numId="34" w16cid:durableId="887302316">
    <w:abstractNumId w:val="23"/>
  </w:num>
  <w:num w:numId="35" w16cid:durableId="746457092">
    <w:abstractNumId w:val="14"/>
  </w:num>
  <w:num w:numId="36" w16cid:durableId="666246499">
    <w:abstractNumId w:val="2"/>
  </w:num>
  <w:num w:numId="37" w16cid:durableId="1709063693">
    <w:abstractNumId w:val="22"/>
  </w:num>
  <w:num w:numId="38" w16cid:durableId="4455463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2292"/>
    <w:rsid w:val="000216CD"/>
    <w:rsid w:val="00065A8F"/>
    <w:rsid w:val="00065D50"/>
    <w:rsid w:val="00091EE4"/>
    <w:rsid w:val="000D1E02"/>
    <w:rsid w:val="000F7A0C"/>
    <w:rsid w:val="00112915"/>
    <w:rsid w:val="00130EF0"/>
    <w:rsid w:val="00156639"/>
    <w:rsid w:val="00183EC0"/>
    <w:rsid w:val="00193784"/>
    <w:rsid w:val="0023168B"/>
    <w:rsid w:val="00282D6D"/>
    <w:rsid w:val="00291BCF"/>
    <w:rsid w:val="002B5D9C"/>
    <w:rsid w:val="002E1197"/>
    <w:rsid w:val="00323723"/>
    <w:rsid w:val="003342DB"/>
    <w:rsid w:val="003D126B"/>
    <w:rsid w:val="003F3105"/>
    <w:rsid w:val="00416997"/>
    <w:rsid w:val="004308A6"/>
    <w:rsid w:val="00456685"/>
    <w:rsid w:val="00460524"/>
    <w:rsid w:val="00464BDC"/>
    <w:rsid w:val="00482436"/>
    <w:rsid w:val="004A33CB"/>
    <w:rsid w:val="004A6675"/>
    <w:rsid w:val="004A6BFC"/>
    <w:rsid w:val="004C76F5"/>
    <w:rsid w:val="004E5528"/>
    <w:rsid w:val="004F6734"/>
    <w:rsid w:val="00507A55"/>
    <w:rsid w:val="005B698B"/>
    <w:rsid w:val="005C55C5"/>
    <w:rsid w:val="005C6E3F"/>
    <w:rsid w:val="005E741C"/>
    <w:rsid w:val="005E7F34"/>
    <w:rsid w:val="00621E48"/>
    <w:rsid w:val="00650C5D"/>
    <w:rsid w:val="0068539C"/>
    <w:rsid w:val="007A061C"/>
    <w:rsid w:val="007B3CBC"/>
    <w:rsid w:val="007C38ED"/>
    <w:rsid w:val="007E55A1"/>
    <w:rsid w:val="007F3702"/>
    <w:rsid w:val="00844840"/>
    <w:rsid w:val="00862B83"/>
    <w:rsid w:val="00871514"/>
    <w:rsid w:val="008C3461"/>
    <w:rsid w:val="008E4785"/>
    <w:rsid w:val="009429DF"/>
    <w:rsid w:val="00997CA3"/>
    <w:rsid w:val="009A6229"/>
    <w:rsid w:val="009B5967"/>
    <w:rsid w:val="009E6FD9"/>
    <w:rsid w:val="00A458B9"/>
    <w:rsid w:val="00AF193B"/>
    <w:rsid w:val="00B11B7A"/>
    <w:rsid w:val="00B22997"/>
    <w:rsid w:val="00B353F1"/>
    <w:rsid w:val="00B47993"/>
    <w:rsid w:val="00B50860"/>
    <w:rsid w:val="00B54368"/>
    <w:rsid w:val="00B7732D"/>
    <w:rsid w:val="00B82A83"/>
    <w:rsid w:val="00BB7FC7"/>
    <w:rsid w:val="00C531A9"/>
    <w:rsid w:val="00C53BFA"/>
    <w:rsid w:val="00C628EC"/>
    <w:rsid w:val="00C82D42"/>
    <w:rsid w:val="00CB66C8"/>
    <w:rsid w:val="00CD06B3"/>
    <w:rsid w:val="00CD4A6F"/>
    <w:rsid w:val="00CF4EC0"/>
    <w:rsid w:val="00D41B4B"/>
    <w:rsid w:val="00D454E1"/>
    <w:rsid w:val="00D90A63"/>
    <w:rsid w:val="00D93E3B"/>
    <w:rsid w:val="00D94849"/>
    <w:rsid w:val="00DD4A47"/>
    <w:rsid w:val="00DF2F18"/>
    <w:rsid w:val="00DF71A5"/>
    <w:rsid w:val="00E025BA"/>
    <w:rsid w:val="00E34FF8"/>
    <w:rsid w:val="00E407A1"/>
    <w:rsid w:val="00E4084F"/>
    <w:rsid w:val="00E603CD"/>
    <w:rsid w:val="00E60D19"/>
    <w:rsid w:val="00E717DB"/>
    <w:rsid w:val="00E81BD1"/>
    <w:rsid w:val="00E85464"/>
    <w:rsid w:val="00EA04F8"/>
    <w:rsid w:val="00EC15E5"/>
    <w:rsid w:val="00EC65CC"/>
    <w:rsid w:val="00ED1F7B"/>
    <w:rsid w:val="00EF79A0"/>
    <w:rsid w:val="00F26B1C"/>
    <w:rsid w:val="00F354F0"/>
    <w:rsid w:val="00F45A53"/>
    <w:rsid w:val="00F4629F"/>
    <w:rsid w:val="00F53A0D"/>
    <w:rsid w:val="00F8568D"/>
    <w:rsid w:val="00FA4089"/>
    <w:rsid w:val="00FB53FB"/>
    <w:rsid w:val="00FD6BFF"/>
    <w:rsid w:val="00FD7892"/>
    <w:rsid w:val="00FE3B8C"/>
    <w:rsid w:val="00FF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DF71A5"/>
    <w:rPr>
      <w:color w:val="0563C1" w:themeColor="hyperlink"/>
      <w:u w:val="single"/>
    </w:rPr>
  </w:style>
  <w:style w:type="paragraph" w:customStyle="1" w:styleId="Default">
    <w:name w:val="Default"/>
    <w:rsid w:val="00C628EC"/>
    <w:pPr>
      <w:autoSpaceDE w:val="0"/>
      <w:autoSpaceDN w:val="0"/>
      <w:adjustRightInd w:val="0"/>
    </w:pPr>
    <w:rPr>
      <w:rFonts w:ascii="Myriad Pro" w:hAnsi="Myriad Pro" w:cs="Myriad Pro"/>
      <w:color w:val="000000"/>
    </w:rPr>
  </w:style>
  <w:style w:type="character" w:styleId="UnresolvedMention">
    <w:name w:val="Unresolved Mention"/>
    <w:basedOn w:val="DefaultParagraphFont"/>
    <w:uiPriority w:val="99"/>
    <w:semiHidden/>
    <w:unhideWhenUsed/>
    <w:rsid w:val="00E81BD1"/>
    <w:rPr>
      <w:color w:val="605E5C"/>
      <w:shd w:val="clear" w:color="auto" w:fill="E1DFDD"/>
    </w:rPr>
  </w:style>
  <w:style w:type="character" w:styleId="FollowedHyperlink">
    <w:name w:val="FollowedHyperlink"/>
    <w:basedOn w:val="DefaultParagraphFont"/>
    <w:uiPriority w:val="99"/>
    <w:semiHidden/>
    <w:unhideWhenUsed/>
    <w:rsid w:val="000F7A0C"/>
    <w:rPr>
      <w:color w:val="954F72" w:themeColor="followedHyperlink"/>
      <w:u w:val="single"/>
    </w:rPr>
  </w:style>
  <w:style w:type="character" w:styleId="Strong">
    <w:name w:val="Strong"/>
    <w:basedOn w:val="DefaultParagraphFont"/>
    <w:uiPriority w:val="22"/>
    <w:qFormat/>
    <w:rsid w:val="00CD0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Feck, Paul</cp:lastModifiedBy>
  <cp:revision>2</cp:revision>
  <cp:lastPrinted>2021-07-28T19:35:00Z</cp:lastPrinted>
  <dcterms:created xsi:type="dcterms:W3CDTF">2025-05-06T19:41:00Z</dcterms:created>
  <dcterms:modified xsi:type="dcterms:W3CDTF">2025-05-06T19:41:00Z</dcterms:modified>
</cp:coreProperties>
</file>