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D9968" w14:textId="301E1400" w:rsidR="00FC7BAA" w:rsidRPr="00ED6E9B" w:rsidRDefault="00B11B1D" w:rsidP="00ED6E9B">
      <w:pPr>
        <w:pStyle w:val="Subtitle"/>
        <w:spacing w:after="0"/>
        <w:rPr>
          <w:rFonts w:cs="Arial"/>
        </w:rPr>
      </w:pPr>
      <w:r w:rsidRPr="00ED6E9B">
        <w:rPr>
          <w:rFonts w:cs="Arial"/>
          <w:sz w:val="48"/>
          <w:szCs w:val="48"/>
        </w:rPr>
        <w:t>HMIS Transition</w:t>
      </w:r>
    </w:p>
    <w:p w14:paraId="07B41EC8" w14:textId="59076235" w:rsidR="00FC7BAA" w:rsidRDefault="000752AA" w:rsidP="00ED6E9B">
      <w:pPr>
        <w:pStyle w:val="Subtitle"/>
        <w:rPr>
          <w:rFonts w:cs="Arial"/>
        </w:rPr>
      </w:pPr>
      <w:r>
        <w:rPr>
          <w:rFonts w:cs="Arial"/>
        </w:rPr>
        <w:t>Frequently Asked Questions</w:t>
      </w:r>
    </w:p>
    <w:p w14:paraId="0B4F5E21" w14:textId="702F1CEF" w:rsidR="00E12338" w:rsidRPr="00E12338" w:rsidRDefault="00E12338" w:rsidP="00E12338">
      <w:pPr>
        <w:jc w:val="center"/>
      </w:pPr>
      <w:r>
        <w:t>Updated August 26, 2021</w:t>
      </w:r>
    </w:p>
    <w:p w14:paraId="240D8612" w14:textId="77777777" w:rsidR="00FC7BAA" w:rsidRPr="00ED6E9B" w:rsidRDefault="00FC7BAA" w:rsidP="00ED6E9B">
      <w:pPr>
        <w:rPr>
          <w:rFonts w:cs="Arial"/>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bottom w:w="115" w:type="dxa"/>
        </w:tblCellMar>
        <w:tblLook w:val="04A0" w:firstRow="1" w:lastRow="0" w:firstColumn="1" w:lastColumn="0" w:noHBand="0" w:noVBand="1"/>
      </w:tblPr>
      <w:tblGrid>
        <w:gridCol w:w="3955"/>
        <w:gridCol w:w="89"/>
        <w:gridCol w:w="6026"/>
      </w:tblGrid>
      <w:tr w:rsidR="00063AB4" w:rsidRPr="003920FE" w14:paraId="5F4CD80C" w14:textId="77777777" w:rsidTr="009B7E7B">
        <w:trPr>
          <w:trHeight w:val="720"/>
          <w:tblHeader/>
        </w:trPr>
        <w:tc>
          <w:tcPr>
            <w:tcW w:w="1964" w:type="pct"/>
            <w:shd w:val="clear" w:color="auto" w:fill="DBE5F1" w:themeFill="accent1" w:themeFillTint="33"/>
            <w:vAlign w:val="center"/>
          </w:tcPr>
          <w:p w14:paraId="35DD28D9" w14:textId="6BD2A186" w:rsidR="00063AB4" w:rsidRPr="009F7742" w:rsidRDefault="00063AB4" w:rsidP="009F7742">
            <w:pPr>
              <w:pStyle w:val="OhioBoSCoCTableHeader"/>
              <w:rPr>
                <w:rFonts w:eastAsia="Arimo"/>
                <w:sz w:val="22"/>
                <w:szCs w:val="22"/>
              </w:rPr>
            </w:pPr>
            <w:r w:rsidRPr="009F7742">
              <w:rPr>
                <w:rFonts w:eastAsia="Arimo"/>
                <w:sz w:val="22"/>
                <w:szCs w:val="22"/>
              </w:rPr>
              <w:t>Question</w:t>
            </w:r>
          </w:p>
        </w:tc>
        <w:tc>
          <w:tcPr>
            <w:tcW w:w="3036" w:type="pct"/>
            <w:gridSpan w:val="2"/>
            <w:shd w:val="clear" w:color="auto" w:fill="DBE5F1" w:themeFill="accent1" w:themeFillTint="33"/>
            <w:vAlign w:val="center"/>
          </w:tcPr>
          <w:p w14:paraId="0074CB2D" w14:textId="23046F58" w:rsidR="00063AB4" w:rsidRPr="009F7742" w:rsidRDefault="00063AB4" w:rsidP="009F7742">
            <w:pPr>
              <w:jc w:val="center"/>
              <w:rPr>
                <w:rFonts w:eastAsia="Arimo"/>
                <w:b/>
                <w:szCs w:val="22"/>
              </w:rPr>
            </w:pPr>
            <w:r w:rsidRPr="009F7742">
              <w:rPr>
                <w:rFonts w:eastAsia="Arimo"/>
                <w:b/>
                <w:szCs w:val="22"/>
              </w:rPr>
              <w:t>Answer</w:t>
            </w:r>
          </w:p>
        </w:tc>
      </w:tr>
      <w:tr w:rsidR="00B555DA" w:rsidRPr="003920FE" w14:paraId="254B7E66" w14:textId="77777777" w:rsidTr="00B555DA">
        <w:trPr>
          <w:trHeight w:val="235"/>
        </w:trPr>
        <w:tc>
          <w:tcPr>
            <w:tcW w:w="5000" w:type="pct"/>
            <w:gridSpan w:val="3"/>
            <w:shd w:val="clear" w:color="auto" w:fill="auto"/>
          </w:tcPr>
          <w:p w14:paraId="4A75D3CF" w14:textId="2AEB3B3F" w:rsidR="00B555DA" w:rsidRPr="000752AA" w:rsidRDefault="00B555DA" w:rsidP="009F7742">
            <w:pPr>
              <w:rPr>
                <w:rFonts w:eastAsia="Arial Unicode MS"/>
                <w:b/>
                <w:bCs/>
                <w:i/>
                <w:iCs/>
              </w:rPr>
            </w:pPr>
            <w:r>
              <w:rPr>
                <w:rFonts w:eastAsia="Arial Unicode MS"/>
                <w:b/>
                <w:bCs/>
                <w:i/>
                <w:iCs/>
              </w:rPr>
              <w:t>General Guidance</w:t>
            </w:r>
          </w:p>
        </w:tc>
      </w:tr>
      <w:tr w:rsidR="00E12338" w:rsidRPr="003920FE" w14:paraId="04B05C73" w14:textId="77777777" w:rsidTr="00B555DA">
        <w:trPr>
          <w:trHeight w:val="235"/>
        </w:trPr>
        <w:tc>
          <w:tcPr>
            <w:tcW w:w="1964" w:type="pct"/>
            <w:shd w:val="clear" w:color="auto" w:fill="auto"/>
          </w:tcPr>
          <w:p w14:paraId="680592B0" w14:textId="01A07B23" w:rsidR="00E12338" w:rsidRDefault="00E12338" w:rsidP="00E12338">
            <w:pPr>
              <w:rPr>
                <w:rFonts w:eastAsia="Arial Unicode MS"/>
              </w:rPr>
            </w:pPr>
            <w:r w:rsidRPr="00ED6E9B">
              <w:t>Is there a preferred browser for Clarity?</w:t>
            </w:r>
          </w:p>
        </w:tc>
        <w:tc>
          <w:tcPr>
            <w:tcW w:w="3036" w:type="pct"/>
            <w:gridSpan w:val="2"/>
            <w:shd w:val="clear" w:color="auto" w:fill="auto"/>
          </w:tcPr>
          <w:p w14:paraId="38D95576" w14:textId="04A08F96" w:rsidR="00E12338" w:rsidRDefault="0001039A" w:rsidP="00E12338">
            <w:pPr>
              <w:rPr>
                <w:rFonts w:eastAsia="Arial Unicode MS"/>
              </w:rPr>
            </w:pPr>
            <w:hyperlink r:id="rId8">
              <w:r w:rsidR="00E12338" w:rsidRPr="00420BF3">
                <w:rPr>
                  <w:rStyle w:val="Hyperlink"/>
                  <w:rFonts w:eastAsia="Arial"/>
                </w:rPr>
                <w:t>https://get.clarityhs.help/hc/en-us/articles/1500000719402-Supported-Web-Browsers-for-Accessing-Clarity-Human-Services</w:t>
              </w:r>
            </w:hyperlink>
          </w:p>
        </w:tc>
      </w:tr>
      <w:tr w:rsidR="00E54BD6" w:rsidRPr="003920FE" w14:paraId="159B6789" w14:textId="77777777" w:rsidTr="00B555DA">
        <w:trPr>
          <w:trHeight w:val="235"/>
        </w:trPr>
        <w:tc>
          <w:tcPr>
            <w:tcW w:w="1964" w:type="pct"/>
            <w:shd w:val="clear" w:color="auto" w:fill="auto"/>
          </w:tcPr>
          <w:p w14:paraId="7E9EAC7E" w14:textId="585911CF" w:rsidR="00E54BD6" w:rsidRDefault="00E54BD6" w:rsidP="00E54BD6">
            <w:pPr>
              <w:rPr>
                <w:rFonts w:eastAsia="Arial Unicode MS"/>
              </w:rPr>
            </w:pPr>
            <w:r w:rsidRPr="009F7742">
              <w:rPr>
                <w:rFonts w:eastAsia="Arial Unicode MS" w:hint="eastAsia"/>
              </w:rPr>
              <w:t>I have not received an email to log into clarity</w:t>
            </w:r>
            <w:r>
              <w:rPr>
                <w:rFonts w:eastAsia="Arial Unicode MS"/>
              </w:rPr>
              <w:t xml:space="preserve">, but I was an end user in </w:t>
            </w:r>
            <w:proofErr w:type="spellStart"/>
            <w:r>
              <w:rPr>
                <w:rFonts w:eastAsia="Arial Unicode MS"/>
              </w:rPr>
              <w:t>ServicePoint</w:t>
            </w:r>
            <w:proofErr w:type="spellEnd"/>
            <w:r>
              <w:rPr>
                <w:rFonts w:eastAsia="Arial Unicode MS"/>
              </w:rPr>
              <w:t>.</w:t>
            </w:r>
          </w:p>
        </w:tc>
        <w:tc>
          <w:tcPr>
            <w:tcW w:w="3036" w:type="pct"/>
            <w:gridSpan w:val="2"/>
            <w:shd w:val="clear" w:color="auto" w:fill="auto"/>
          </w:tcPr>
          <w:p w14:paraId="284C63BF" w14:textId="697E56F9" w:rsidR="00E54BD6" w:rsidRDefault="00E54BD6" w:rsidP="00E54BD6">
            <w:pPr>
              <w:rPr>
                <w:rFonts w:eastAsia="Arial Unicode MS"/>
              </w:rPr>
            </w:pPr>
            <w:r w:rsidRPr="009F7742">
              <w:rPr>
                <w:rFonts w:eastAsia="Arial Unicode MS" w:hint="eastAsia"/>
              </w:rPr>
              <w:t xml:space="preserve">If you have not received your Clarity login information please email </w:t>
            </w:r>
            <w:hyperlink r:id="rId9" w:history="1">
              <w:r w:rsidRPr="00B75971">
                <w:rPr>
                  <w:rStyle w:val="Hyperlink"/>
                  <w:rFonts w:eastAsia="Arial Unicode MS" w:hint="eastAsia"/>
                  <w:sz w:val="22"/>
                </w:rPr>
                <w:t>hmis@cohhio.org</w:t>
              </w:r>
            </w:hyperlink>
            <w:r w:rsidRPr="009F7742">
              <w:rPr>
                <w:rFonts w:eastAsia="Arial Unicode MS" w:hint="eastAsia"/>
              </w:rPr>
              <w:t>.</w:t>
            </w:r>
          </w:p>
        </w:tc>
      </w:tr>
      <w:tr w:rsidR="00E54BD6" w:rsidRPr="003920FE" w14:paraId="74DBED6D" w14:textId="77777777" w:rsidTr="00B555DA">
        <w:trPr>
          <w:trHeight w:val="235"/>
        </w:trPr>
        <w:tc>
          <w:tcPr>
            <w:tcW w:w="1964" w:type="pct"/>
            <w:shd w:val="clear" w:color="auto" w:fill="auto"/>
          </w:tcPr>
          <w:p w14:paraId="27C0F06B" w14:textId="1210EF30" w:rsidR="00E54BD6" w:rsidRPr="00B555DA" w:rsidRDefault="00E54BD6" w:rsidP="00E54BD6">
            <w:pPr>
              <w:rPr>
                <w:rFonts w:eastAsia="Arial Unicode MS"/>
              </w:rPr>
            </w:pPr>
            <w:r>
              <w:rPr>
                <w:rFonts w:eastAsia="Arial Unicode MS"/>
              </w:rPr>
              <w:t>Where can I find written guidance for Clarity?</w:t>
            </w:r>
          </w:p>
        </w:tc>
        <w:tc>
          <w:tcPr>
            <w:tcW w:w="3036" w:type="pct"/>
            <w:gridSpan w:val="2"/>
            <w:shd w:val="clear" w:color="auto" w:fill="auto"/>
          </w:tcPr>
          <w:p w14:paraId="2FD40BF8" w14:textId="1FBAB6E6" w:rsidR="00E54BD6" w:rsidRPr="00B555DA" w:rsidRDefault="00E54BD6" w:rsidP="00E54BD6">
            <w:pPr>
              <w:rPr>
                <w:rFonts w:eastAsia="Arial Unicode MS"/>
              </w:rPr>
            </w:pPr>
            <w:r>
              <w:rPr>
                <w:rFonts w:eastAsia="Arial Unicode MS"/>
              </w:rPr>
              <w:t xml:space="preserve">You can find Clarity guidance documents and basic workflows on Clarity’s </w:t>
            </w:r>
            <w:hyperlink r:id="rId10" w:history="1">
              <w:r w:rsidRPr="00B555DA">
                <w:rPr>
                  <w:rStyle w:val="Hyperlink"/>
                  <w:rFonts w:eastAsia="Arial Unicode MS"/>
                  <w:sz w:val="22"/>
                </w:rPr>
                <w:t>Getting Started</w:t>
              </w:r>
            </w:hyperlink>
            <w:r>
              <w:rPr>
                <w:rFonts w:eastAsia="Arial Unicode MS"/>
              </w:rPr>
              <w:t xml:space="preserve"> page. The HMIS team will provide more guidance and workflows specific to the Ohio </w:t>
            </w:r>
            <w:proofErr w:type="spellStart"/>
            <w:r>
              <w:rPr>
                <w:rFonts w:eastAsia="Arial Unicode MS"/>
              </w:rPr>
              <w:t>BoSCoC</w:t>
            </w:r>
            <w:proofErr w:type="spellEnd"/>
            <w:r>
              <w:rPr>
                <w:rFonts w:eastAsia="Arial Unicode MS"/>
              </w:rPr>
              <w:t xml:space="preserve"> and </w:t>
            </w:r>
            <w:proofErr w:type="spellStart"/>
            <w:r>
              <w:rPr>
                <w:rFonts w:eastAsia="Arial Unicode MS"/>
              </w:rPr>
              <w:t>MCHCoC</w:t>
            </w:r>
            <w:proofErr w:type="spellEnd"/>
            <w:r>
              <w:rPr>
                <w:rFonts w:eastAsia="Arial Unicode MS"/>
              </w:rPr>
              <w:t xml:space="preserve"> HMIS within the next several weeks.</w:t>
            </w:r>
          </w:p>
        </w:tc>
      </w:tr>
      <w:tr w:rsidR="00E54BD6" w:rsidRPr="003920FE" w14:paraId="26034526" w14:textId="77777777" w:rsidTr="00B555DA">
        <w:trPr>
          <w:trHeight w:val="235"/>
        </w:trPr>
        <w:tc>
          <w:tcPr>
            <w:tcW w:w="1964" w:type="pct"/>
            <w:shd w:val="clear" w:color="auto" w:fill="auto"/>
          </w:tcPr>
          <w:p w14:paraId="12AE2F00" w14:textId="7138FFE7" w:rsidR="00E54BD6" w:rsidRPr="00B555DA" w:rsidRDefault="00E54BD6" w:rsidP="00E54BD6">
            <w:pPr>
              <w:rPr>
                <w:rFonts w:eastAsia="Arial Unicode MS"/>
              </w:rPr>
            </w:pPr>
            <w:r>
              <w:rPr>
                <w:rFonts w:eastAsia="Arial Unicode MS"/>
              </w:rPr>
              <w:t>Do we need to</w:t>
            </w:r>
            <w:r w:rsidRPr="009F7742">
              <w:rPr>
                <w:rFonts w:eastAsia="Arial Unicode MS" w:hint="eastAsia"/>
              </w:rPr>
              <w:t xml:space="preserve"> "EDA" to the program before we create the client?</w:t>
            </w:r>
          </w:p>
        </w:tc>
        <w:tc>
          <w:tcPr>
            <w:tcW w:w="3036" w:type="pct"/>
            <w:gridSpan w:val="2"/>
            <w:shd w:val="clear" w:color="auto" w:fill="auto"/>
          </w:tcPr>
          <w:p w14:paraId="3F4DC820" w14:textId="075C73D6" w:rsidR="00E54BD6" w:rsidRPr="000752AA" w:rsidRDefault="00E54BD6" w:rsidP="00E54BD6">
            <w:pPr>
              <w:rPr>
                <w:rFonts w:eastAsia="Arial Unicode MS"/>
                <w:b/>
                <w:bCs/>
                <w:i/>
                <w:iCs/>
              </w:rPr>
            </w:pPr>
            <w:r>
              <w:rPr>
                <w:rFonts w:eastAsia="Arial Unicode MS"/>
              </w:rPr>
              <w:t xml:space="preserve">In Clarity, it’s called “Switching Agencies”. The recommended workflow is to begin entry by switching to </w:t>
            </w:r>
            <w:r w:rsidR="00A61035">
              <w:rPr>
                <w:rFonts w:eastAsia="Arial Unicode MS"/>
              </w:rPr>
              <w:t xml:space="preserve">the </w:t>
            </w:r>
            <w:r>
              <w:rPr>
                <w:rFonts w:eastAsia="Arial Unicode MS"/>
              </w:rPr>
              <w:t>correct Agency (the one currently assisting the client) and then enter the client. This way when you create an enrollment in a program, you are ready to select from the correct program options.</w:t>
            </w:r>
          </w:p>
        </w:tc>
      </w:tr>
      <w:tr w:rsidR="00E54BD6" w:rsidRPr="003920FE" w14:paraId="22466D37" w14:textId="77777777" w:rsidTr="00B555DA">
        <w:trPr>
          <w:trHeight w:val="235"/>
        </w:trPr>
        <w:tc>
          <w:tcPr>
            <w:tcW w:w="1964" w:type="pct"/>
            <w:shd w:val="clear" w:color="auto" w:fill="auto"/>
          </w:tcPr>
          <w:p w14:paraId="59C11E7F" w14:textId="1641BB0A" w:rsidR="00E54BD6" w:rsidRPr="009F7742" w:rsidRDefault="00E54BD6" w:rsidP="00E54BD6">
            <w:pPr>
              <w:rPr>
                <w:rFonts w:eastAsia="Arial Unicode MS"/>
              </w:rPr>
            </w:pPr>
            <w:r w:rsidRPr="005B6034">
              <w:rPr>
                <w:rFonts w:eastAsia="Arial Unicode MS"/>
              </w:rPr>
              <w:t xml:space="preserve">Do we have access to the </w:t>
            </w:r>
            <w:r>
              <w:rPr>
                <w:rFonts w:eastAsia="Arial Unicode MS"/>
              </w:rPr>
              <w:t>C</w:t>
            </w:r>
            <w:r w:rsidRPr="005B6034">
              <w:rPr>
                <w:rFonts w:eastAsia="Arial Unicode MS"/>
              </w:rPr>
              <w:t>larity training site</w:t>
            </w:r>
            <w:r>
              <w:rPr>
                <w:rFonts w:eastAsia="Arial Unicode MS"/>
              </w:rPr>
              <w:t>?</w:t>
            </w:r>
          </w:p>
        </w:tc>
        <w:tc>
          <w:tcPr>
            <w:tcW w:w="3036" w:type="pct"/>
            <w:gridSpan w:val="2"/>
            <w:shd w:val="clear" w:color="auto" w:fill="auto"/>
          </w:tcPr>
          <w:p w14:paraId="60BBDE27" w14:textId="75FFC768" w:rsidR="00E54BD6" w:rsidRPr="009F7742" w:rsidRDefault="00D11092" w:rsidP="00E54BD6">
            <w:pPr>
              <w:rPr>
                <w:rFonts w:eastAsia="Arial Unicode MS"/>
              </w:rPr>
            </w:pPr>
            <w:r>
              <w:rPr>
                <w:rFonts w:eastAsia="Arial Unicode MS"/>
              </w:rPr>
              <w:t xml:space="preserve">If you need access to the training site email </w:t>
            </w:r>
            <w:hyperlink r:id="rId11" w:history="1">
              <w:r w:rsidRPr="004B05D2">
                <w:rPr>
                  <w:rStyle w:val="Hyperlink"/>
                  <w:rFonts w:eastAsia="Arial Unicode MS"/>
                  <w:sz w:val="22"/>
                </w:rPr>
                <w:t>hmis@cohhio.org</w:t>
              </w:r>
            </w:hyperlink>
            <w:r>
              <w:rPr>
                <w:rFonts w:eastAsia="Arial Unicode MS"/>
              </w:rPr>
              <w:t xml:space="preserve">. </w:t>
            </w:r>
            <w:r w:rsidR="00E54BD6">
              <w:rPr>
                <w:rFonts w:eastAsia="Arial Unicode MS"/>
              </w:rPr>
              <w:t xml:space="preserve"> </w:t>
            </w:r>
          </w:p>
        </w:tc>
      </w:tr>
      <w:tr w:rsidR="00E54BD6" w:rsidRPr="003920FE" w14:paraId="157F316B" w14:textId="77777777" w:rsidTr="00923EDC">
        <w:trPr>
          <w:trHeight w:val="235"/>
        </w:trPr>
        <w:tc>
          <w:tcPr>
            <w:tcW w:w="5000" w:type="pct"/>
            <w:gridSpan w:val="3"/>
            <w:shd w:val="clear" w:color="auto" w:fill="auto"/>
          </w:tcPr>
          <w:p w14:paraId="046AEFD3" w14:textId="0F555F32" w:rsidR="00E54BD6" w:rsidRPr="00923EDC" w:rsidRDefault="00E54BD6" w:rsidP="00E54BD6">
            <w:pPr>
              <w:rPr>
                <w:rFonts w:eastAsia="Arial Unicode MS"/>
                <w:b/>
                <w:bCs/>
                <w:i/>
                <w:iCs/>
              </w:rPr>
            </w:pPr>
            <w:r>
              <w:rPr>
                <w:rFonts w:eastAsia="Arial Unicode MS"/>
                <w:b/>
                <w:bCs/>
                <w:i/>
                <w:iCs/>
              </w:rPr>
              <w:t>Migration and Transition</w:t>
            </w:r>
          </w:p>
        </w:tc>
      </w:tr>
      <w:tr w:rsidR="00E54BD6" w:rsidRPr="003920FE" w14:paraId="15AA14B7" w14:textId="77777777" w:rsidTr="00B555DA">
        <w:trPr>
          <w:trHeight w:val="235"/>
        </w:trPr>
        <w:tc>
          <w:tcPr>
            <w:tcW w:w="1964" w:type="pct"/>
            <w:shd w:val="clear" w:color="auto" w:fill="auto"/>
          </w:tcPr>
          <w:p w14:paraId="4C7DC195" w14:textId="7091E7E0" w:rsidR="00E54BD6" w:rsidRPr="00B555DA" w:rsidRDefault="00E54BD6" w:rsidP="00E54BD6">
            <w:pPr>
              <w:rPr>
                <w:rFonts w:eastAsia="Arial Unicode MS"/>
              </w:rPr>
            </w:pPr>
            <w:r w:rsidRPr="009F7742">
              <w:rPr>
                <w:rFonts w:eastAsia="Arial Unicode MS" w:hint="eastAsia"/>
              </w:rPr>
              <w:t xml:space="preserve">Is there a "due by" date for </w:t>
            </w:r>
            <w:r>
              <w:rPr>
                <w:rFonts w:eastAsia="Arial Unicode MS"/>
              </w:rPr>
              <w:t xml:space="preserve">when all </w:t>
            </w:r>
            <w:r w:rsidRPr="009F7742">
              <w:rPr>
                <w:rFonts w:eastAsia="Arial Unicode MS" w:hint="eastAsia"/>
              </w:rPr>
              <w:t>back data</w:t>
            </w:r>
            <w:r>
              <w:rPr>
                <w:rFonts w:eastAsia="Arial Unicode MS"/>
              </w:rPr>
              <w:t xml:space="preserve"> that occurred during the blackout period must be entered into Clarity</w:t>
            </w:r>
            <w:r w:rsidRPr="009F7742">
              <w:rPr>
                <w:rFonts w:eastAsia="Arial Unicode MS" w:hint="eastAsia"/>
              </w:rPr>
              <w:t>?</w:t>
            </w:r>
          </w:p>
        </w:tc>
        <w:tc>
          <w:tcPr>
            <w:tcW w:w="3036" w:type="pct"/>
            <w:gridSpan w:val="2"/>
            <w:shd w:val="clear" w:color="auto" w:fill="auto"/>
          </w:tcPr>
          <w:p w14:paraId="0F785037" w14:textId="75756F4F" w:rsidR="00E54BD6" w:rsidRPr="000752AA" w:rsidRDefault="00E54BD6" w:rsidP="00E54BD6">
            <w:pPr>
              <w:rPr>
                <w:rFonts w:eastAsia="Arial Unicode MS"/>
                <w:b/>
                <w:bCs/>
                <w:i/>
                <w:iCs/>
              </w:rPr>
            </w:pPr>
            <w:r w:rsidRPr="009F7742">
              <w:rPr>
                <w:rFonts w:eastAsia="Arial Unicode MS"/>
              </w:rPr>
              <w:t>No</w:t>
            </w:r>
          </w:p>
        </w:tc>
      </w:tr>
      <w:tr w:rsidR="00FE3E0A" w:rsidRPr="003920FE" w14:paraId="54AC8163" w14:textId="77777777" w:rsidTr="00B555DA">
        <w:trPr>
          <w:trHeight w:val="235"/>
        </w:trPr>
        <w:tc>
          <w:tcPr>
            <w:tcW w:w="1964" w:type="pct"/>
            <w:shd w:val="clear" w:color="auto" w:fill="auto"/>
          </w:tcPr>
          <w:p w14:paraId="010E1C5C" w14:textId="0D28B5E5" w:rsidR="00FE3E0A" w:rsidRPr="00B555DA" w:rsidRDefault="00FE3E0A" w:rsidP="00FE3E0A">
            <w:pPr>
              <w:rPr>
                <w:rFonts w:eastAsia="Arial Unicode MS"/>
              </w:rPr>
            </w:pPr>
            <w:r w:rsidRPr="00ED6E9B">
              <w:t xml:space="preserve">Can you still search for a client with </w:t>
            </w:r>
            <w:r>
              <w:t xml:space="preserve">their </w:t>
            </w:r>
            <w:proofErr w:type="spellStart"/>
            <w:r>
              <w:t>ServicePoint</w:t>
            </w:r>
            <w:proofErr w:type="spellEnd"/>
            <w:r>
              <w:t xml:space="preserve"> </w:t>
            </w:r>
            <w:r w:rsidRPr="00ED6E9B">
              <w:t>HMIS number?</w:t>
            </w:r>
          </w:p>
        </w:tc>
        <w:tc>
          <w:tcPr>
            <w:tcW w:w="3036" w:type="pct"/>
            <w:gridSpan w:val="2"/>
            <w:shd w:val="clear" w:color="auto" w:fill="auto"/>
          </w:tcPr>
          <w:p w14:paraId="796C8EBA" w14:textId="7D8E9F84" w:rsidR="00FE3E0A" w:rsidRPr="000752AA" w:rsidRDefault="00FE3E0A" w:rsidP="00FE3E0A">
            <w:pPr>
              <w:rPr>
                <w:rFonts w:eastAsia="Arial Unicode MS"/>
                <w:b/>
                <w:bCs/>
                <w:i/>
                <w:iCs/>
              </w:rPr>
            </w:pPr>
            <w:r w:rsidRPr="00420BF3">
              <w:t xml:space="preserve">Yes. You can search by </w:t>
            </w:r>
            <w:proofErr w:type="spellStart"/>
            <w:r w:rsidRPr="00420BF3">
              <w:t>ServicePoint</w:t>
            </w:r>
            <w:proofErr w:type="spellEnd"/>
            <w:r w:rsidRPr="00420BF3">
              <w:t xml:space="preserve"> ID but you should switch to using the Clarity unique identifier </w:t>
            </w:r>
            <w:r>
              <w:t>for all client records and documentation going forward.</w:t>
            </w:r>
          </w:p>
        </w:tc>
      </w:tr>
      <w:tr w:rsidR="00FE3E0A" w:rsidRPr="003920FE" w14:paraId="774F3A94" w14:textId="77777777" w:rsidTr="000752AA">
        <w:trPr>
          <w:trHeight w:val="235"/>
        </w:trPr>
        <w:tc>
          <w:tcPr>
            <w:tcW w:w="5000" w:type="pct"/>
            <w:gridSpan w:val="3"/>
            <w:shd w:val="clear" w:color="auto" w:fill="auto"/>
          </w:tcPr>
          <w:p w14:paraId="2F01E8DD" w14:textId="717831D6" w:rsidR="00FE3E0A" w:rsidRPr="000752AA" w:rsidRDefault="00FE3E0A" w:rsidP="00FE3E0A">
            <w:pPr>
              <w:rPr>
                <w:rFonts w:eastAsia="Arial Unicode MS"/>
                <w:b/>
                <w:bCs/>
                <w:i/>
                <w:iCs/>
              </w:rPr>
            </w:pPr>
            <w:r w:rsidRPr="000752AA">
              <w:rPr>
                <w:rFonts w:eastAsia="Arial Unicode MS"/>
                <w:b/>
                <w:bCs/>
                <w:i/>
                <w:iCs/>
              </w:rPr>
              <w:t>Access Points</w:t>
            </w:r>
            <w:r>
              <w:rPr>
                <w:rFonts w:eastAsia="Arial Unicode MS"/>
                <w:b/>
                <w:bCs/>
                <w:i/>
                <w:iCs/>
              </w:rPr>
              <w:t xml:space="preserve"> and Coordinated Entry</w:t>
            </w:r>
          </w:p>
        </w:tc>
      </w:tr>
      <w:tr w:rsidR="00FE3E0A" w:rsidRPr="003920FE" w14:paraId="1DB41287" w14:textId="77777777" w:rsidTr="000752AA">
        <w:trPr>
          <w:trHeight w:val="460"/>
        </w:trPr>
        <w:tc>
          <w:tcPr>
            <w:tcW w:w="1964" w:type="pct"/>
            <w:shd w:val="clear" w:color="auto" w:fill="auto"/>
          </w:tcPr>
          <w:p w14:paraId="5E363642" w14:textId="6454BC21" w:rsidR="00FE3E0A" w:rsidRPr="009F7742" w:rsidRDefault="00FE3E0A" w:rsidP="00FE3E0A">
            <w:pPr>
              <w:rPr>
                <w:rFonts w:eastAsia="Arial Unicode MS"/>
              </w:rPr>
            </w:pPr>
            <w:r w:rsidRPr="009F7742">
              <w:rPr>
                <w:rFonts w:eastAsia="Arial Unicode MS"/>
              </w:rPr>
              <w:t>W</w:t>
            </w:r>
            <w:r w:rsidRPr="009F7742">
              <w:rPr>
                <w:rFonts w:eastAsia="Arial Unicode MS" w:hint="eastAsia"/>
              </w:rPr>
              <w:t>hat is AP?</w:t>
            </w:r>
          </w:p>
        </w:tc>
        <w:tc>
          <w:tcPr>
            <w:tcW w:w="3036" w:type="pct"/>
            <w:gridSpan w:val="2"/>
            <w:shd w:val="clear" w:color="auto" w:fill="auto"/>
          </w:tcPr>
          <w:p w14:paraId="60CC6E65" w14:textId="21C22BC3" w:rsidR="00FE3E0A" w:rsidRPr="009F7742" w:rsidRDefault="00FE3E0A" w:rsidP="00FE3E0A">
            <w:pPr>
              <w:rPr>
                <w:rFonts w:eastAsia="Arial Unicode MS"/>
              </w:rPr>
            </w:pPr>
            <w:r w:rsidRPr="009F7742">
              <w:rPr>
                <w:rFonts w:eastAsia="Arial Unicode MS" w:hint="eastAsia"/>
              </w:rPr>
              <w:t>AP = Access Point</w:t>
            </w:r>
          </w:p>
        </w:tc>
      </w:tr>
      <w:tr w:rsidR="00FE3E0A" w:rsidRPr="003920FE" w14:paraId="24C2CC53" w14:textId="77777777" w:rsidTr="009B7E7B">
        <w:trPr>
          <w:trHeight w:val="720"/>
        </w:trPr>
        <w:tc>
          <w:tcPr>
            <w:tcW w:w="1964" w:type="pct"/>
            <w:shd w:val="clear" w:color="auto" w:fill="auto"/>
          </w:tcPr>
          <w:p w14:paraId="11F249F0" w14:textId="74BEF138" w:rsidR="00FE3E0A" w:rsidRDefault="00FE3E0A" w:rsidP="00FE3E0A">
            <w:pPr>
              <w:rPr>
                <w:rFonts w:eastAsia="Arial Unicode MS"/>
              </w:rPr>
            </w:pPr>
            <w:r>
              <w:rPr>
                <w:rFonts w:eastAsia="Arial Unicode MS"/>
              </w:rPr>
              <w:lastRenderedPageBreak/>
              <w:t>What is the role of the AP in Coordinated Entry (CE) processes and in HMIS?</w:t>
            </w:r>
          </w:p>
        </w:tc>
        <w:tc>
          <w:tcPr>
            <w:tcW w:w="3036" w:type="pct"/>
            <w:gridSpan w:val="2"/>
            <w:shd w:val="clear" w:color="auto" w:fill="auto"/>
          </w:tcPr>
          <w:p w14:paraId="41CE0B78" w14:textId="010C06B7" w:rsidR="00FE3E0A" w:rsidRDefault="00FE3E0A" w:rsidP="00FE3E0A">
            <w:pPr>
              <w:rPr>
                <w:rFonts w:eastAsia="Arial Unicode MS"/>
              </w:rPr>
            </w:pPr>
            <w:r>
              <w:rPr>
                <w:rFonts w:eastAsia="Arial Unicode MS"/>
              </w:rPr>
              <w:t>Access Points serve as the front door into the homeless system for the Ohio Balance of State Continuum of Care (</w:t>
            </w:r>
            <w:proofErr w:type="spellStart"/>
            <w:r>
              <w:rPr>
                <w:rFonts w:eastAsia="Arial Unicode MS"/>
              </w:rPr>
              <w:t>BoSCoC</w:t>
            </w:r>
            <w:proofErr w:type="spellEnd"/>
            <w:r>
              <w:rPr>
                <w:rFonts w:eastAsia="Arial Unicode MS"/>
              </w:rPr>
              <w:t xml:space="preserve">). APs are responsible for responding to calls/visits from folks in housing crisis, doing a diversion screening to see if another housing option is viable, and if not, helping the household enter into the local homeless system. Only agencies identified in their Regional CE Plan and included in the regional CE MOU as an AP are able to serve in that role. All AP staff responding to requests for assistance must be trained on the </w:t>
            </w:r>
            <w:proofErr w:type="spellStart"/>
            <w:r>
              <w:rPr>
                <w:rFonts w:eastAsia="Arial Unicode MS"/>
              </w:rPr>
              <w:t>CoC’s</w:t>
            </w:r>
            <w:proofErr w:type="spellEnd"/>
            <w:r>
              <w:rPr>
                <w:rFonts w:eastAsia="Arial Unicode MS"/>
              </w:rPr>
              <w:t xml:space="preserve"> standard diversion process and related HMIS workflow. </w:t>
            </w:r>
          </w:p>
          <w:p w14:paraId="456A5AFF" w14:textId="1C31C22C" w:rsidR="00FE3E0A" w:rsidRDefault="00FE3E0A" w:rsidP="00FE3E0A">
            <w:pPr>
              <w:rPr>
                <w:rFonts w:eastAsia="Arial Unicode MS"/>
              </w:rPr>
            </w:pPr>
          </w:p>
          <w:p w14:paraId="3BF2DB0A" w14:textId="79654FDE" w:rsidR="00FE3E0A" w:rsidRDefault="00FE3E0A" w:rsidP="00FE3E0A">
            <w:pPr>
              <w:rPr>
                <w:rFonts w:eastAsia="Arial Unicode MS"/>
              </w:rPr>
            </w:pPr>
            <w:r>
              <w:rPr>
                <w:rFonts w:eastAsia="Arial Unicode MS"/>
              </w:rPr>
              <w:t xml:space="preserve">Anyone in housing crisis seeking assistance from the local homeless system must first be screened by the AP. </w:t>
            </w:r>
          </w:p>
          <w:p w14:paraId="3EB5EC16" w14:textId="642EEC52" w:rsidR="00FE3E0A" w:rsidRDefault="00FE3E0A" w:rsidP="00FE3E0A">
            <w:pPr>
              <w:rPr>
                <w:rFonts w:eastAsia="Arial Unicode MS"/>
              </w:rPr>
            </w:pPr>
          </w:p>
          <w:p w14:paraId="170B3A28" w14:textId="4562315B" w:rsidR="00FE3E0A" w:rsidRPr="009F7742" w:rsidRDefault="00FE3E0A" w:rsidP="00FE3E0A">
            <w:pPr>
              <w:rPr>
                <w:rFonts w:eastAsia="Arial Unicode MS"/>
              </w:rPr>
            </w:pPr>
            <w:r w:rsidRPr="00795687">
              <w:rPr>
                <w:rFonts w:eastAsia="Arial Unicode MS"/>
              </w:rPr>
              <w:t>For HMIS, this means that ALL clients will first have an enrollment in the appropriate CE AP</w:t>
            </w:r>
            <w:r w:rsidR="00A61035" w:rsidRPr="00795687">
              <w:rPr>
                <w:rFonts w:eastAsia="Arial Unicode MS"/>
              </w:rPr>
              <w:t xml:space="preserve"> or a PATH program</w:t>
            </w:r>
            <w:r w:rsidRPr="00795687">
              <w:rPr>
                <w:rFonts w:eastAsia="Arial Unicode MS"/>
              </w:rPr>
              <w:t xml:space="preserve"> before they can be added to the relevant Queue and referred to the appropriate resource.</w:t>
            </w:r>
            <w:r>
              <w:rPr>
                <w:rFonts w:eastAsia="Arial Unicode MS"/>
              </w:rPr>
              <w:t xml:space="preserve"> </w:t>
            </w:r>
          </w:p>
        </w:tc>
      </w:tr>
      <w:tr w:rsidR="00FE3E0A" w:rsidRPr="003920FE" w14:paraId="6EBF7DCA" w14:textId="77777777" w:rsidTr="009B7E7B">
        <w:trPr>
          <w:trHeight w:val="720"/>
        </w:trPr>
        <w:tc>
          <w:tcPr>
            <w:tcW w:w="1964" w:type="pct"/>
            <w:shd w:val="clear" w:color="auto" w:fill="auto"/>
          </w:tcPr>
          <w:p w14:paraId="4AAD5B5D" w14:textId="66C9E4C4" w:rsidR="00FE3E0A" w:rsidRPr="009F7742" w:rsidRDefault="00FE3E0A" w:rsidP="00FE3E0A">
            <w:pPr>
              <w:rPr>
                <w:rFonts w:eastAsia="Arial Unicode MS"/>
              </w:rPr>
            </w:pPr>
            <w:r>
              <w:rPr>
                <w:rFonts w:eastAsia="Arial Unicode MS"/>
              </w:rPr>
              <w:t>H</w:t>
            </w:r>
            <w:r w:rsidRPr="009F7742">
              <w:rPr>
                <w:rFonts w:eastAsia="Arial Unicode MS" w:hint="eastAsia"/>
              </w:rPr>
              <w:t xml:space="preserve">ow do we access </w:t>
            </w:r>
            <w:r>
              <w:rPr>
                <w:rFonts w:eastAsia="Arial Unicode MS"/>
              </w:rPr>
              <w:t xml:space="preserve">our </w:t>
            </w:r>
            <w:r w:rsidRPr="009F7742">
              <w:rPr>
                <w:rFonts w:eastAsia="Arial Unicode MS" w:hint="eastAsia"/>
              </w:rPr>
              <w:t>AP</w:t>
            </w:r>
            <w:r>
              <w:rPr>
                <w:rFonts w:eastAsia="Arial Unicode MS"/>
              </w:rPr>
              <w:t xml:space="preserve"> to enter client data?</w:t>
            </w:r>
          </w:p>
        </w:tc>
        <w:tc>
          <w:tcPr>
            <w:tcW w:w="3036" w:type="pct"/>
            <w:gridSpan w:val="2"/>
            <w:shd w:val="clear" w:color="auto" w:fill="auto"/>
          </w:tcPr>
          <w:p w14:paraId="7796C98F" w14:textId="0904B2B2" w:rsidR="00FE3E0A" w:rsidRPr="009F7742" w:rsidRDefault="00FE3E0A" w:rsidP="00FE3E0A">
            <w:pPr>
              <w:rPr>
                <w:rFonts w:eastAsia="Arial Unicode MS"/>
              </w:rPr>
            </w:pPr>
            <w:r w:rsidRPr="009F7742">
              <w:rPr>
                <w:rFonts w:eastAsia="Arial Unicode MS" w:hint="eastAsia"/>
              </w:rPr>
              <w:t xml:space="preserve">You access your AP provider </w:t>
            </w:r>
            <w:r w:rsidR="00D11092">
              <w:rPr>
                <w:rFonts w:eastAsia="Arial Unicode MS"/>
              </w:rPr>
              <w:t xml:space="preserve">in Clarity </w:t>
            </w:r>
            <w:r w:rsidRPr="009F7742">
              <w:rPr>
                <w:rFonts w:eastAsia="Arial Unicode MS" w:hint="eastAsia"/>
              </w:rPr>
              <w:t xml:space="preserve">by clicking the dropdown next to your agency under your name and switching to the Coordinated Entry agency. </w:t>
            </w:r>
          </w:p>
        </w:tc>
      </w:tr>
      <w:tr w:rsidR="00FE3E0A" w:rsidRPr="003920FE" w14:paraId="24B745FF" w14:textId="77777777" w:rsidTr="009B7E7B">
        <w:trPr>
          <w:trHeight w:val="720"/>
        </w:trPr>
        <w:tc>
          <w:tcPr>
            <w:tcW w:w="1964" w:type="pct"/>
            <w:shd w:val="clear" w:color="auto" w:fill="auto"/>
          </w:tcPr>
          <w:p w14:paraId="41CE53F0" w14:textId="77F08846" w:rsidR="00FE3E0A" w:rsidRPr="009F7742" w:rsidRDefault="00FE3E0A" w:rsidP="00FE3E0A">
            <w:pPr>
              <w:rPr>
                <w:rFonts w:eastAsia="Arial Unicode MS"/>
              </w:rPr>
            </w:pPr>
            <w:r>
              <w:rPr>
                <w:rFonts w:eastAsia="Arial Unicode MS"/>
              </w:rPr>
              <w:t>How do I refer a client from the AP to the local ES project?</w:t>
            </w:r>
          </w:p>
        </w:tc>
        <w:tc>
          <w:tcPr>
            <w:tcW w:w="3036" w:type="pct"/>
            <w:gridSpan w:val="2"/>
            <w:shd w:val="clear" w:color="auto" w:fill="auto"/>
          </w:tcPr>
          <w:p w14:paraId="2376EEE3" w14:textId="1F8D7640" w:rsidR="00FE3E0A" w:rsidRPr="009F7742" w:rsidRDefault="00FE3E0A" w:rsidP="00FE3E0A">
            <w:pPr>
              <w:rPr>
                <w:rFonts w:eastAsia="Arial Unicode MS"/>
              </w:rPr>
            </w:pPr>
            <w:r w:rsidRPr="00795687">
              <w:rPr>
                <w:rFonts w:eastAsia="Arial Unicode MS"/>
              </w:rPr>
              <w:t>After completing the CE AP enrollment and crisis assessment, add the client to the Emergency Shelter queue</w:t>
            </w:r>
            <w:r w:rsidR="00A61035" w:rsidRPr="00795687">
              <w:rPr>
                <w:rFonts w:eastAsia="Arial Unicode MS"/>
              </w:rPr>
              <w:t xml:space="preserve"> and assign them to the appropriate program</w:t>
            </w:r>
            <w:r w:rsidR="00D11092" w:rsidRPr="00795687">
              <w:rPr>
                <w:rFonts w:eastAsia="Arial Unicode MS"/>
              </w:rPr>
              <w:t>.</w:t>
            </w:r>
            <w:r w:rsidRPr="00795687">
              <w:rPr>
                <w:rFonts w:eastAsia="Arial Unicode MS"/>
              </w:rPr>
              <w:t xml:space="preserve"> When the ES provider is ready to intake the client, they will take the client from the queue</w:t>
            </w:r>
            <w:r w:rsidR="00A61035" w:rsidRPr="00795687">
              <w:rPr>
                <w:rFonts w:eastAsia="Arial Unicode MS"/>
              </w:rPr>
              <w:t xml:space="preserve"> by</w:t>
            </w:r>
            <w:r w:rsidRPr="00795687">
              <w:rPr>
                <w:rFonts w:eastAsia="Arial Unicode MS"/>
              </w:rPr>
              <w:t xml:space="preserve"> </w:t>
            </w:r>
            <w:r w:rsidR="00A61035" w:rsidRPr="00795687">
              <w:rPr>
                <w:rFonts w:eastAsia="Arial Unicode MS"/>
              </w:rPr>
              <w:t xml:space="preserve">completing </w:t>
            </w:r>
            <w:r w:rsidRPr="00795687">
              <w:rPr>
                <w:rFonts w:eastAsia="Arial Unicode MS"/>
              </w:rPr>
              <w:t>their program enrollment</w:t>
            </w:r>
            <w:r w:rsidR="00A61035" w:rsidRPr="00795687">
              <w:rPr>
                <w:rFonts w:eastAsia="Arial Unicode MS"/>
              </w:rPr>
              <w:t>.</w:t>
            </w:r>
            <w:r w:rsidRPr="00795687">
              <w:rPr>
                <w:rFonts w:eastAsia="Arial Unicode MS"/>
              </w:rPr>
              <w:t xml:space="preserve"> </w:t>
            </w:r>
            <w:r w:rsidR="00A61035" w:rsidRPr="00795687">
              <w:rPr>
                <w:rFonts w:eastAsia="Arial Unicode MS"/>
              </w:rPr>
              <w:t>The client should remain open in the AP until they have a</w:t>
            </w:r>
            <w:r w:rsidR="00D11092" w:rsidRPr="00795687">
              <w:rPr>
                <w:rFonts w:eastAsia="Arial Unicode MS"/>
              </w:rPr>
              <w:t xml:space="preserve"> </w:t>
            </w:r>
            <w:r w:rsidR="00A61035" w:rsidRPr="00795687">
              <w:rPr>
                <w:rFonts w:eastAsia="Arial Unicode MS"/>
              </w:rPr>
              <w:t xml:space="preserve">Move-In Date or permanent housing </w:t>
            </w:r>
            <w:r w:rsidR="00D11092" w:rsidRPr="00795687">
              <w:rPr>
                <w:rFonts w:eastAsia="Arial Unicode MS"/>
              </w:rPr>
              <w:t>exit d</w:t>
            </w:r>
            <w:r w:rsidR="00A61035" w:rsidRPr="00795687">
              <w:rPr>
                <w:rFonts w:eastAsia="Arial Unicode MS"/>
              </w:rPr>
              <w:t>estination.</w:t>
            </w:r>
          </w:p>
        </w:tc>
      </w:tr>
      <w:tr w:rsidR="00FE3E0A" w:rsidRPr="003920FE" w14:paraId="32BD965A" w14:textId="77777777" w:rsidTr="009B7E7B">
        <w:trPr>
          <w:trHeight w:val="720"/>
        </w:trPr>
        <w:tc>
          <w:tcPr>
            <w:tcW w:w="1964" w:type="pct"/>
            <w:shd w:val="clear" w:color="auto" w:fill="auto"/>
          </w:tcPr>
          <w:p w14:paraId="616219ED" w14:textId="7521FD96" w:rsidR="00FE3E0A" w:rsidRPr="009F7742" w:rsidRDefault="00FE3E0A" w:rsidP="00FE3E0A">
            <w:pPr>
              <w:rPr>
                <w:rFonts w:eastAsia="Arial Unicode MS"/>
              </w:rPr>
            </w:pPr>
            <w:r w:rsidRPr="00ED6E9B">
              <w:t>Where do we enter the VI-SPDATs?</w:t>
            </w:r>
          </w:p>
        </w:tc>
        <w:tc>
          <w:tcPr>
            <w:tcW w:w="3036" w:type="pct"/>
            <w:gridSpan w:val="2"/>
            <w:shd w:val="clear" w:color="auto" w:fill="auto"/>
          </w:tcPr>
          <w:p w14:paraId="0B8970EB" w14:textId="10FE3564" w:rsidR="00FE3E0A" w:rsidRDefault="00FE3E0A" w:rsidP="00FE3E0A">
            <w:pPr>
              <w:rPr>
                <w:rFonts w:eastAsia="Arial Unicode MS"/>
              </w:rPr>
            </w:pPr>
            <w:r w:rsidRPr="00420BF3">
              <w:t>VI-SPDATs are entered using the Assessments option in a CE</w:t>
            </w:r>
            <w:r w:rsidR="00A61035">
              <w:t>, ES</w:t>
            </w:r>
            <w:r w:rsidR="00D11092">
              <w:t>,</w:t>
            </w:r>
            <w:r w:rsidR="00A61035">
              <w:t xml:space="preserve"> or PATH</w:t>
            </w:r>
            <w:r w:rsidRPr="00420BF3">
              <w:t xml:space="preserve"> enrollment</w:t>
            </w:r>
            <w:r w:rsidR="00A61035">
              <w:t>.</w:t>
            </w:r>
          </w:p>
        </w:tc>
      </w:tr>
      <w:tr w:rsidR="00FE3E0A" w:rsidRPr="003920FE" w14:paraId="60A81D17" w14:textId="77777777" w:rsidTr="009B7E7B">
        <w:trPr>
          <w:trHeight w:val="720"/>
        </w:trPr>
        <w:tc>
          <w:tcPr>
            <w:tcW w:w="1964" w:type="pct"/>
            <w:shd w:val="clear" w:color="auto" w:fill="auto"/>
          </w:tcPr>
          <w:p w14:paraId="46DC4619" w14:textId="45CAE5B0" w:rsidR="00FE3E0A" w:rsidRDefault="00FE3E0A" w:rsidP="00FE3E0A">
            <w:pPr>
              <w:rPr>
                <w:rFonts w:eastAsia="Arial Unicode MS"/>
              </w:rPr>
            </w:pPr>
            <w:r w:rsidRPr="009F7742">
              <w:rPr>
                <w:rFonts w:eastAsia="Arial Unicode MS" w:hint="eastAsia"/>
              </w:rPr>
              <w:t xml:space="preserve">We have clients that stay unsheltered for various reasons. Once </w:t>
            </w:r>
            <w:r>
              <w:rPr>
                <w:rFonts w:eastAsia="Arial Unicode MS"/>
              </w:rPr>
              <w:t>we enter their client info into the</w:t>
            </w:r>
            <w:r w:rsidRPr="009F7742">
              <w:rPr>
                <w:rFonts w:eastAsia="Arial Unicode MS" w:hint="eastAsia"/>
              </w:rPr>
              <w:t xml:space="preserve"> AP</w:t>
            </w:r>
            <w:r>
              <w:rPr>
                <w:rFonts w:eastAsia="Arial Unicode MS"/>
              </w:rPr>
              <w:t xml:space="preserve">, </w:t>
            </w:r>
            <w:r w:rsidRPr="009F7742">
              <w:rPr>
                <w:rFonts w:eastAsia="Arial Unicode MS" w:hint="eastAsia"/>
              </w:rPr>
              <w:t>do we skip direct</w:t>
            </w:r>
            <w:r>
              <w:rPr>
                <w:rFonts w:eastAsia="Arial Unicode MS"/>
              </w:rPr>
              <w:t>ly</w:t>
            </w:r>
            <w:r w:rsidRPr="009F7742">
              <w:rPr>
                <w:rFonts w:eastAsia="Arial Unicode MS" w:hint="eastAsia"/>
              </w:rPr>
              <w:t xml:space="preserve"> to </w:t>
            </w:r>
            <w:r>
              <w:rPr>
                <w:rFonts w:eastAsia="Arial Unicode MS"/>
              </w:rPr>
              <w:t>the VI-</w:t>
            </w:r>
            <w:r w:rsidRPr="009F7742">
              <w:rPr>
                <w:rFonts w:eastAsia="Arial Unicode MS" w:hint="eastAsia"/>
              </w:rPr>
              <w:t>SPDAT?</w:t>
            </w:r>
          </w:p>
        </w:tc>
        <w:tc>
          <w:tcPr>
            <w:tcW w:w="3036" w:type="pct"/>
            <w:gridSpan w:val="2"/>
            <w:shd w:val="clear" w:color="auto" w:fill="auto"/>
          </w:tcPr>
          <w:p w14:paraId="0B79F491" w14:textId="65FE4087" w:rsidR="00FE3E0A" w:rsidRDefault="00FE3E0A" w:rsidP="00FE3E0A">
            <w:pPr>
              <w:rPr>
                <w:rFonts w:eastAsia="Arial Unicode MS"/>
              </w:rPr>
            </w:pPr>
            <w:r>
              <w:rPr>
                <w:rFonts w:eastAsia="Arial Unicode MS"/>
              </w:rPr>
              <w:t xml:space="preserve">When a client is enrolled in an AP program you should document any services provided as well as complete any necessary assessments, including a VI-SPDAT for unsheltered clients. </w:t>
            </w:r>
          </w:p>
        </w:tc>
      </w:tr>
      <w:tr w:rsidR="00FE3E0A" w:rsidRPr="003920FE" w14:paraId="44435DCE" w14:textId="77777777" w:rsidTr="009B7E7B">
        <w:trPr>
          <w:trHeight w:val="720"/>
        </w:trPr>
        <w:tc>
          <w:tcPr>
            <w:tcW w:w="1964" w:type="pct"/>
            <w:shd w:val="clear" w:color="auto" w:fill="auto"/>
          </w:tcPr>
          <w:p w14:paraId="4BD2E568" w14:textId="3F3743FB" w:rsidR="00FE3E0A" w:rsidRPr="009F7742" w:rsidRDefault="00FE3E0A" w:rsidP="00FE3E0A">
            <w:pPr>
              <w:rPr>
                <w:rFonts w:eastAsia="Arial Unicode MS"/>
              </w:rPr>
            </w:pPr>
            <w:r>
              <w:rPr>
                <w:rFonts w:eastAsia="Arial Unicode MS"/>
              </w:rPr>
              <w:t>For</w:t>
            </w:r>
            <w:r w:rsidRPr="009F7742">
              <w:rPr>
                <w:rFonts w:eastAsia="Arial Unicode MS" w:hint="eastAsia"/>
              </w:rPr>
              <w:t xml:space="preserve"> the </w:t>
            </w:r>
            <w:r w:rsidRPr="009F7742">
              <w:rPr>
                <w:rFonts w:eastAsia="Arial Unicode MS"/>
              </w:rPr>
              <w:t>permanent</w:t>
            </w:r>
            <w:r w:rsidRPr="009F7742">
              <w:rPr>
                <w:rFonts w:eastAsia="Arial Unicode MS" w:hint="eastAsia"/>
              </w:rPr>
              <w:t xml:space="preserve"> housing track, do we answer that before we house them or after? </w:t>
            </w:r>
            <w:r>
              <w:rPr>
                <w:rFonts w:eastAsia="Arial Unicode MS"/>
              </w:rPr>
              <w:t>What if I don’t know their housing track when they enter the CE AP or ES project?</w:t>
            </w:r>
          </w:p>
        </w:tc>
        <w:tc>
          <w:tcPr>
            <w:tcW w:w="3036" w:type="pct"/>
            <w:gridSpan w:val="2"/>
            <w:shd w:val="clear" w:color="auto" w:fill="auto"/>
          </w:tcPr>
          <w:p w14:paraId="74B7A50A" w14:textId="03530364" w:rsidR="00FE3E0A" w:rsidRDefault="00FE3E0A" w:rsidP="00FE3E0A">
            <w:pPr>
              <w:rPr>
                <w:rFonts w:eastAsia="Arial Unicode MS"/>
              </w:rPr>
            </w:pPr>
            <w:r>
              <w:rPr>
                <w:rFonts w:eastAsia="Arial Unicode MS"/>
              </w:rPr>
              <w:t>You should complete permanent housing track as soon as possible after a client accesses the system. If you do not know what their track is (</w:t>
            </w:r>
            <w:r w:rsidR="00A61035">
              <w:rPr>
                <w:rFonts w:eastAsia="Arial Unicode MS"/>
              </w:rPr>
              <w:t>i.e.</w:t>
            </w:r>
            <w:r>
              <w:rPr>
                <w:rFonts w:eastAsia="Arial Unicode MS"/>
              </w:rPr>
              <w:t xml:space="preserve">, what their housing plan is), then you can leave it blank. </w:t>
            </w:r>
          </w:p>
        </w:tc>
      </w:tr>
      <w:tr w:rsidR="00FE3E0A" w:rsidRPr="003920FE" w14:paraId="411D820D" w14:textId="77777777" w:rsidTr="00923EDC">
        <w:trPr>
          <w:trHeight w:val="720"/>
        </w:trPr>
        <w:tc>
          <w:tcPr>
            <w:tcW w:w="1964" w:type="pct"/>
            <w:shd w:val="clear" w:color="auto" w:fill="auto"/>
          </w:tcPr>
          <w:p w14:paraId="78549220" w14:textId="4224B661" w:rsidR="00FE3E0A" w:rsidRPr="009F7742" w:rsidRDefault="00FE3E0A" w:rsidP="00FE3E0A">
            <w:pPr>
              <w:rPr>
                <w:rFonts w:eastAsia="Arial Unicode MS"/>
              </w:rPr>
            </w:pPr>
            <w:r w:rsidRPr="009F7742">
              <w:rPr>
                <w:rFonts w:eastAsia="Arial Unicode MS" w:hint="eastAsia"/>
              </w:rPr>
              <w:lastRenderedPageBreak/>
              <w:t>You mentioned that clients served through PATH programs don't have to be entered through APs. What are PATH programs?</w:t>
            </w:r>
          </w:p>
        </w:tc>
        <w:tc>
          <w:tcPr>
            <w:tcW w:w="3036" w:type="pct"/>
            <w:gridSpan w:val="2"/>
            <w:shd w:val="clear" w:color="auto" w:fill="auto"/>
          </w:tcPr>
          <w:p w14:paraId="5F76D05B" w14:textId="1B354EE8" w:rsidR="00FE3E0A" w:rsidRPr="009F7742" w:rsidRDefault="00FE3E0A" w:rsidP="00FE3E0A">
            <w:pPr>
              <w:rPr>
                <w:rFonts w:eastAsia="Arial Unicode MS"/>
              </w:rPr>
            </w:pPr>
            <w:r>
              <w:rPr>
                <w:rFonts w:eastAsia="Arial Unicode MS"/>
              </w:rPr>
              <w:t xml:space="preserve">PATH stands for Projects for Assistance in Transition from Homelessness. They are funded through Health and Human Services to outreach to people with serious mental illness who are experiencing homelessness, unsheltered homelessness in particular. We have four PATH programs in the </w:t>
            </w:r>
            <w:proofErr w:type="spellStart"/>
            <w:r>
              <w:rPr>
                <w:rFonts w:eastAsia="Arial Unicode MS"/>
              </w:rPr>
              <w:t>BoS</w:t>
            </w:r>
            <w:proofErr w:type="spellEnd"/>
            <w:r>
              <w:rPr>
                <w:rFonts w:eastAsia="Arial Unicode MS"/>
              </w:rPr>
              <w:t xml:space="preserve"> (Lorain, Butler, Clermont and Lake counties) and one in Mahoning County. </w:t>
            </w:r>
          </w:p>
        </w:tc>
      </w:tr>
      <w:tr w:rsidR="00FE3E0A" w:rsidRPr="003920FE" w14:paraId="31BA6C67" w14:textId="77777777" w:rsidTr="009B7E7B">
        <w:trPr>
          <w:trHeight w:val="720"/>
        </w:trPr>
        <w:tc>
          <w:tcPr>
            <w:tcW w:w="1964" w:type="pct"/>
            <w:shd w:val="clear" w:color="auto" w:fill="auto"/>
          </w:tcPr>
          <w:p w14:paraId="53B43C93" w14:textId="3F02198D" w:rsidR="00FE3E0A" w:rsidRPr="009F7742" w:rsidRDefault="00FE3E0A" w:rsidP="00FE3E0A">
            <w:pPr>
              <w:rPr>
                <w:rFonts w:eastAsia="Arial Unicode MS"/>
              </w:rPr>
            </w:pPr>
            <w:r>
              <w:rPr>
                <w:rFonts w:eastAsia="Arial Unicode MS"/>
              </w:rPr>
              <w:t>Is it okay to have a client dually enrolled in the AP and in an ES project?</w:t>
            </w:r>
          </w:p>
        </w:tc>
        <w:tc>
          <w:tcPr>
            <w:tcW w:w="3036" w:type="pct"/>
            <w:gridSpan w:val="2"/>
            <w:shd w:val="clear" w:color="auto" w:fill="auto"/>
          </w:tcPr>
          <w:p w14:paraId="4484B256" w14:textId="3E5C26C6" w:rsidR="00FE3E0A" w:rsidRDefault="00FE3E0A" w:rsidP="00FE3E0A">
            <w:pPr>
              <w:rPr>
                <w:rFonts w:eastAsia="Arial Unicode MS"/>
              </w:rPr>
            </w:pPr>
            <w:r w:rsidRPr="00923EDC">
              <w:rPr>
                <w:rFonts w:eastAsia="Arial Unicode MS"/>
              </w:rPr>
              <w:t>Yes, clients can be dually enrolled in AP and other programs until they are permanently housed.</w:t>
            </w:r>
          </w:p>
        </w:tc>
      </w:tr>
      <w:tr w:rsidR="00FE3E0A" w:rsidRPr="003920FE" w14:paraId="4DD38AA5" w14:textId="77777777" w:rsidTr="009B7E7B">
        <w:trPr>
          <w:trHeight w:val="720"/>
        </w:trPr>
        <w:tc>
          <w:tcPr>
            <w:tcW w:w="1964" w:type="pct"/>
            <w:shd w:val="clear" w:color="auto" w:fill="auto"/>
          </w:tcPr>
          <w:p w14:paraId="4269ED93" w14:textId="4818C208" w:rsidR="00FE3E0A" w:rsidRDefault="00FE3E0A" w:rsidP="00FE3E0A">
            <w:pPr>
              <w:rPr>
                <w:rFonts w:eastAsia="Arial Unicode MS"/>
              </w:rPr>
            </w:pPr>
            <w:r w:rsidRPr="00AE3B72">
              <w:rPr>
                <w:rFonts w:eastAsia="Arial Unicode MS"/>
              </w:rPr>
              <w:t xml:space="preserve">How are people exited from </w:t>
            </w:r>
            <w:r w:rsidR="0088640B">
              <w:rPr>
                <w:rFonts w:eastAsia="Arial Unicode MS"/>
              </w:rPr>
              <w:t xml:space="preserve">a </w:t>
            </w:r>
            <w:r w:rsidRPr="00AE3B72">
              <w:rPr>
                <w:rFonts w:eastAsia="Arial Unicode MS"/>
              </w:rPr>
              <w:t>CE</w:t>
            </w:r>
            <w:r w:rsidR="0088640B">
              <w:rPr>
                <w:rFonts w:eastAsia="Arial Unicode MS"/>
              </w:rPr>
              <w:t xml:space="preserve"> AP</w:t>
            </w:r>
            <w:r w:rsidRPr="00AE3B72">
              <w:rPr>
                <w:rFonts w:eastAsia="Arial Unicode MS"/>
              </w:rPr>
              <w:t>?</w:t>
            </w:r>
          </w:p>
        </w:tc>
        <w:tc>
          <w:tcPr>
            <w:tcW w:w="3036" w:type="pct"/>
            <w:gridSpan w:val="2"/>
            <w:shd w:val="clear" w:color="auto" w:fill="auto"/>
          </w:tcPr>
          <w:p w14:paraId="74CBE9C1" w14:textId="5EE4A384" w:rsidR="00FE3E0A" w:rsidRPr="00923EDC" w:rsidRDefault="00FE3E0A" w:rsidP="00FE3E0A">
            <w:pPr>
              <w:rPr>
                <w:rFonts w:eastAsia="Arial Unicode MS"/>
              </w:rPr>
            </w:pPr>
            <w:r w:rsidRPr="00AE3B72">
              <w:rPr>
                <w:rFonts w:eastAsia="Arial Unicode MS"/>
              </w:rPr>
              <w:t xml:space="preserve">You can manually exit clients from CE </w:t>
            </w:r>
            <w:r w:rsidR="0088640B">
              <w:rPr>
                <w:rFonts w:eastAsia="Arial Unicode MS"/>
              </w:rPr>
              <w:t xml:space="preserve">AP </w:t>
            </w:r>
            <w:r w:rsidRPr="00AE3B72">
              <w:rPr>
                <w:rFonts w:eastAsia="Arial Unicode MS"/>
              </w:rPr>
              <w:t>or allow them to auto-exit. Clients should remain open in CE until they are permanently housed.</w:t>
            </w:r>
          </w:p>
        </w:tc>
      </w:tr>
      <w:tr w:rsidR="00FE3E0A" w:rsidRPr="003920FE" w14:paraId="29301956" w14:textId="77777777" w:rsidTr="009B7E7B">
        <w:trPr>
          <w:trHeight w:val="720"/>
        </w:trPr>
        <w:tc>
          <w:tcPr>
            <w:tcW w:w="1964" w:type="pct"/>
            <w:shd w:val="clear" w:color="auto" w:fill="auto"/>
          </w:tcPr>
          <w:p w14:paraId="7114F922" w14:textId="7DB33EDA" w:rsidR="00FE3E0A" w:rsidRDefault="00FE3E0A" w:rsidP="00FE3E0A">
            <w:pPr>
              <w:rPr>
                <w:rFonts w:eastAsia="Arial Unicode MS"/>
              </w:rPr>
            </w:pPr>
            <w:r>
              <w:rPr>
                <w:rFonts w:eastAsia="Arial Unicode MS"/>
              </w:rPr>
              <w:t>Are clients auto-exited from the AP?</w:t>
            </w:r>
          </w:p>
        </w:tc>
        <w:tc>
          <w:tcPr>
            <w:tcW w:w="3036" w:type="pct"/>
            <w:gridSpan w:val="2"/>
            <w:shd w:val="clear" w:color="auto" w:fill="auto"/>
          </w:tcPr>
          <w:p w14:paraId="4CA67700" w14:textId="79B59396" w:rsidR="00FE3E0A" w:rsidRPr="00923EDC" w:rsidRDefault="00FE3E0A" w:rsidP="00FE3E0A">
            <w:pPr>
              <w:rPr>
                <w:rFonts w:eastAsia="Arial Unicode MS"/>
              </w:rPr>
            </w:pPr>
            <w:r w:rsidRPr="00795687">
              <w:rPr>
                <w:rFonts w:eastAsia="Arial Unicode MS"/>
              </w:rPr>
              <w:t>Yes. If there is no activity on the AP enrollment for 90 days, the client will be auto-exited from the AP. Additionally, if a client has a housing move-in date recorded as part of an RRH or PSH program stay, they will also be auto-exited from the AP on the same date as the housing move-in date.</w:t>
            </w:r>
            <w:r w:rsidR="00737E88" w:rsidRPr="00795687">
              <w:rPr>
                <w:rFonts w:eastAsia="Arial Unicode MS"/>
              </w:rPr>
              <w:t xml:space="preserve"> Clients are also auto-exited from the AP when they have a permanent housing destination.</w:t>
            </w:r>
            <w:r>
              <w:rPr>
                <w:rFonts w:eastAsia="Arial Unicode MS"/>
              </w:rPr>
              <w:t xml:space="preserve"> </w:t>
            </w:r>
          </w:p>
        </w:tc>
      </w:tr>
      <w:tr w:rsidR="00FE3E0A" w:rsidRPr="003920FE" w14:paraId="11C884E5" w14:textId="77777777" w:rsidTr="00923EDC">
        <w:trPr>
          <w:trHeight w:val="360"/>
        </w:trPr>
        <w:tc>
          <w:tcPr>
            <w:tcW w:w="5000" w:type="pct"/>
            <w:gridSpan w:val="3"/>
            <w:shd w:val="clear" w:color="auto" w:fill="auto"/>
          </w:tcPr>
          <w:p w14:paraId="07A222FD" w14:textId="50055D11" w:rsidR="00FE3E0A" w:rsidRPr="00923EDC" w:rsidRDefault="00FE3E0A" w:rsidP="00FE3E0A">
            <w:pPr>
              <w:rPr>
                <w:rFonts w:eastAsia="Arial Unicode MS"/>
                <w:b/>
                <w:bCs/>
                <w:i/>
                <w:iCs/>
              </w:rPr>
            </w:pPr>
            <w:r>
              <w:rPr>
                <w:rFonts w:eastAsia="Arial Unicode MS"/>
                <w:b/>
                <w:bCs/>
                <w:i/>
                <w:iCs/>
              </w:rPr>
              <w:t>Common Workflow Questions</w:t>
            </w:r>
          </w:p>
        </w:tc>
      </w:tr>
      <w:tr w:rsidR="00FE3E0A" w:rsidRPr="003920FE" w14:paraId="7997DFBD" w14:textId="77777777" w:rsidTr="00923EDC">
        <w:trPr>
          <w:trHeight w:val="360"/>
        </w:trPr>
        <w:tc>
          <w:tcPr>
            <w:tcW w:w="2008" w:type="pct"/>
            <w:gridSpan w:val="2"/>
            <w:shd w:val="clear" w:color="auto" w:fill="auto"/>
          </w:tcPr>
          <w:p w14:paraId="38897985" w14:textId="1E31A354" w:rsidR="00FE3E0A" w:rsidRPr="009F7742" w:rsidRDefault="00FE3E0A" w:rsidP="00FE3E0A">
            <w:pPr>
              <w:rPr>
                <w:rFonts w:eastAsia="Arial Unicode MS"/>
              </w:rPr>
            </w:pPr>
            <w:r w:rsidRPr="009F7742">
              <w:rPr>
                <w:rFonts w:eastAsia="Arial Unicode MS" w:hint="eastAsia"/>
              </w:rPr>
              <w:t xml:space="preserve">When </w:t>
            </w:r>
            <w:r>
              <w:rPr>
                <w:rFonts w:eastAsia="Arial Unicode MS"/>
              </w:rPr>
              <w:t>I</w:t>
            </w:r>
            <w:r w:rsidRPr="009F7742">
              <w:rPr>
                <w:rFonts w:eastAsia="Arial Unicode MS" w:hint="eastAsia"/>
              </w:rPr>
              <w:t xml:space="preserve"> click on any of the tabs, it just shows "no results found" and does not have anything else for me to click on or to add.</w:t>
            </w:r>
          </w:p>
        </w:tc>
        <w:tc>
          <w:tcPr>
            <w:tcW w:w="2992" w:type="pct"/>
            <w:shd w:val="clear" w:color="auto" w:fill="auto"/>
          </w:tcPr>
          <w:p w14:paraId="0D07A6D5" w14:textId="715395F8" w:rsidR="00FE3E0A" w:rsidRDefault="00FE3E0A" w:rsidP="00FE3E0A">
            <w:pPr>
              <w:rPr>
                <w:rFonts w:eastAsia="Arial Unicode MS"/>
              </w:rPr>
            </w:pPr>
            <w:r>
              <w:rPr>
                <w:rFonts w:eastAsia="Arial Unicode MS"/>
              </w:rPr>
              <w:t xml:space="preserve">You need to be inside a client enrollment for most available tabs to populate. </w:t>
            </w:r>
          </w:p>
        </w:tc>
      </w:tr>
      <w:tr w:rsidR="00FE3E0A" w:rsidRPr="003920FE" w14:paraId="0D84F7D6" w14:textId="77777777" w:rsidTr="00923EDC">
        <w:trPr>
          <w:trHeight w:val="360"/>
        </w:trPr>
        <w:tc>
          <w:tcPr>
            <w:tcW w:w="2008" w:type="pct"/>
            <w:gridSpan w:val="2"/>
            <w:shd w:val="clear" w:color="auto" w:fill="auto"/>
          </w:tcPr>
          <w:p w14:paraId="5BEFD164" w14:textId="179E3277" w:rsidR="00FE3E0A" w:rsidRPr="00923EDC" w:rsidRDefault="00FE3E0A" w:rsidP="00FE3E0A">
            <w:pPr>
              <w:rPr>
                <w:rFonts w:eastAsia="Arial Unicode MS"/>
              </w:rPr>
            </w:pPr>
            <w:r w:rsidRPr="009F7742">
              <w:rPr>
                <w:rFonts w:eastAsia="Arial Unicode MS" w:hint="eastAsia"/>
              </w:rPr>
              <w:t>How do we exit a client when they leave shelter, especially if not going into permanent housing</w:t>
            </w:r>
            <w:r>
              <w:rPr>
                <w:rFonts w:eastAsia="Arial Unicode MS"/>
              </w:rPr>
              <w:t>?</w:t>
            </w:r>
          </w:p>
        </w:tc>
        <w:tc>
          <w:tcPr>
            <w:tcW w:w="2992" w:type="pct"/>
            <w:shd w:val="clear" w:color="auto" w:fill="auto"/>
          </w:tcPr>
          <w:p w14:paraId="68408040" w14:textId="3D25B11E" w:rsidR="00FE3E0A" w:rsidRDefault="00FE3E0A" w:rsidP="00FE3E0A">
            <w:pPr>
              <w:rPr>
                <w:rFonts w:eastAsia="Arial Unicode MS"/>
                <w:b/>
                <w:bCs/>
                <w:i/>
                <w:iCs/>
              </w:rPr>
            </w:pPr>
            <w:r>
              <w:rPr>
                <w:rFonts w:eastAsia="Arial Unicode MS"/>
              </w:rPr>
              <w:t>You exit a client using the Exit link in the upper right corner of the Program screen. The font is small and blue</w:t>
            </w:r>
            <w:r w:rsidR="00FB6F7A">
              <w:rPr>
                <w:rFonts w:eastAsia="Arial Unicode MS"/>
              </w:rPr>
              <w:t>, it has an X next to it,</w:t>
            </w:r>
            <w:r>
              <w:rPr>
                <w:rFonts w:eastAsia="Arial Unicode MS"/>
              </w:rPr>
              <w:t xml:space="preserve"> and it’s somewhat hard to find.</w:t>
            </w:r>
          </w:p>
        </w:tc>
      </w:tr>
      <w:tr w:rsidR="00FE3E0A" w:rsidRPr="003920FE" w14:paraId="5D770ACF" w14:textId="77777777" w:rsidTr="00923EDC">
        <w:trPr>
          <w:trHeight w:val="360"/>
        </w:trPr>
        <w:tc>
          <w:tcPr>
            <w:tcW w:w="2008" w:type="pct"/>
            <w:gridSpan w:val="2"/>
            <w:shd w:val="clear" w:color="auto" w:fill="auto"/>
          </w:tcPr>
          <w:p w14:paraId="018F4C0F" w14:textId="565602AF" w:rsidR="00FE3E0A" w:rsidRPr="009F7742" w:rsidRDefault="00FE3E0A" w:rsidP="00FE3E0A">
            <w:pPr>
              <w:rPr>
                <w:rFonts w:eastAsia="Arial Unicode MS"/>
              </w:rPr>
            </w:pPr>
            <w:r>
              <w:rPr>
                <w:rFonts w:eastAsia="Arial Unicode MS"/>
              </w:rPr>
              <w:t>Do all household members complete an ROI?</w:t>
            </w:r>
          </w:p>
        </w:tc>
        <w:tc>
          <w:tcPr>
            <w:tcW w:w="2992" w:type="pct"/>
            <w:shd w:val="clear" w:color="auto" w:fill="auto"/>
          </w:tcPr>
          <w:p w14:paraId="71657CF1" w14:textId="387AEBAB" w:rsidR="00FE3E0A" w:rsidRDefault="00FE3E0A" w:rsidP="00FE3E0A">
            <w:pPr>
              <w:rPr>
                <w:rFonts w:eastAsia="Arial Unicode MS"/>
              </w:rPr>
            </w:pPr>
            <w:r>
              <w:rPr>
                <w:rFonts w:eastAsia="Arial Unicode MS"/>
              </w:rPr>
              <w:t xml:space="preserve">Each adult must have a complete ROI on file. </w:t>
            </w:r>
            <w:r w:rsidRPr="00923EDC">
              <w:rPr>
                <w:rFonts w:eastAsia="Arial Unicode MS"/>
              </w:rPr>
              <w:t>The responsible adult completes the ROI for minor children.</w:t>
            </w:r>
          </w:p>
        </w:tc>
      </w:tr>
      <w:tr w:rsidR="00FE3E0A" w:rsidRPr="003920FE" w14:paraId="628A0EEF" w14:textId="77777777" w:rsidTr="00923EDC">
        <w:trPr>
          <w:trHeight w:val="360"/>
        </w:trPr>
        <w:tc>
          <w:tcPr>
            <w:tcW w:w="2008" w:type="pct"/>
            <w:gridSpan w:val="2"/>
            <w:shd w:val="clear" w:color="auto" w:fill="auto"/>
          </w:tcPr>
          <w:p w14:paraId="4935490C" w14:textId="461BA183" w:rsidR="00FE3E0A" w:rsidRDefault="00FE3E0A" w:rsidP="00FE3E0A">
            <w:pPr>
              <w:rPr>
                <w:rFonts w:eastAsia="Arial Unicode MS"/>
              </w:rPr>
            </w:pPr>
            <w:r>
              <w:rPr>
                <w:rFonts w:eastAsia="Arial Unicode MS"/>
              </w:rPr>
              <w:t>What is the visibility for notes I enter on a client in my program?</w:t>
            </w:r>
          </w:p>
        </w:tc>
        <w:tc>
          <w:tcPr>
            <w:tcW w:w="2992" w:type="pct"/>
            <w:shd w:val="clear" w:color="auto" w:fill="auto"/>
          </w:tcPr>
          <w:p w14:paraId="1C401C4A" w14:textId="649CD049" w:rsidR="00FE3E0A" w:rsidRDefault="00FE3E0A" w:rsidP="00FE3E0A">
            <w:pPr>
              <w:rPr>
                <w:rFonts w:eastAsia="Arial Unicode MS"/>
              </w:rPr>
            </w:pPr>
            <w:r>
              <w:rPr>
                <w:rFonts w:eastAsia="Arial Unicode MS"/>
              </w:rPr>
              <w:t xml:space="preserve">Client notes are private to your agency. All other notes are shared system wide, which means they are visible to other end users. </w:t>
            </w:r>
          </w:p>
        </w:tc>
      </w:tr>
      <w:tr w:rsidR="00FE3E0A" w:rsidRPr="003920FE" w14:paraId="0B63C8A1" w14:textId="77777777" w:rsidTr="00923EDC">
        <w:trPr>
          <w:trHeight w:val="360"/>
        </w:trPr>
        <w:tc>
          <w:tcPr>
            <w:tcW w:w="2008" w:type="pct"/>
            <w:gridSpan w:val="2"/>
            <w:shd w:val="clear" w:color="auto" w:fill="auto"/>
          </w:tcPr>
          <w:p w14:paraId="2DF2A88C" w14:textId="5446DDF4" w:rsidR="00FE3E0A" w:rsidRPr="00E54BD6" w:rsidRDefault="00FE3E0A" w:rsidP="00FE3E0A">
            <w:pPr>
              <w:rPr>
                <w:rFonts w:cs="Arial"/>
                <w:color w:val="000000"/>
                <w:szCs w:val="22"/>
              </w:rPr>
            </w:pPr>
            <w:r w:rsidRPr="00AE3B72">
              <w:rPr>
                <w:rFonts w:cs="Arial"/>
                <w:color w:val="000000"/>
                <w:szCs w:val="22"/>
              </w:rPr>
              <w:t xml:space="preserve">If </w:t>
            </w:r>
            <w:r>
              <w:rPr>
                <w:rFonts w:cs="Arial"/>
                <w:color w:val="000000"/>
                <w:szCs w:val="22"/>
              </w:rPr>
              <w:t xml:space="preserve">we enrolled a </w:t>
            </w:r>
            <w:r w:rsidRPr="00AE3B72">
              <w:rPr>
                <w:rFonts w:cs="Arial"/>
                <w:color w:val="000000"/>
                <w:szCs w:val="22"/>
              </w:rPr>
              <w:t xml:space="preserve">RRH client but then </w:t>
            </w:r>
            <w:r>
              <w:rPr>
                <w:rFonts w:cs="Arial"/>
                <w:color w:val="000000"/>
                <w:szCs w:val="22"/>
              </w:rPr>
              <w:t xml:space="preserve">they </w:t>
            </w:r>
            <w:r w:rsidRPr="00AE3B72">
              <w:rPr>
                <w:rFonts w:cs="Arial"/>
                <w:color w:val="000000"/>
                <w:szCs w:val="22"/>
              </w:rPr>
              <w:t>do not obtain housing</w:t>
            </w:r>
            <w:r>
              <w:rPr>
                <w:rFonts w:cs="Arial"/>
                <w:color w:val="000000"/>
                <w:szCs w:val="22"/>
              </w:rPr>
              <w:t xml:space="preserve"> and no longer want or need our assistance</w:t>
            </w:r>
            <w:r w:rsidRPr="00AE3B72">
              <w:rPr>
                <w:rFonts w:cs="Arial"/>
                <w:color w:val="000000"/>
                <w:szCs w:val="22"/>
              </w:rPr>
              <w:t xml:space="preserve">, do we still simply </w:t>
            </w:r>
            <w:r>
              <w:rPr>
                <w:rFonts w:cs="Arial"/>
                <w:color w:val="000000"/>
                <w:szCs w:val="22"/>
              </w:rPr>
              <w:t>delete that program enrollment?</w:t>
            </w:r>
          </w:p>
        </w:tc>
        <w:tc>
          <w:tcPr>
            <w:tcW w:w="2992" w:type="pct"/>
            <w:shd w:val="clear" w:color="auto" w:fill="auto"/>
          </w:tcPr>
          <w:p w14:paraId="5138CED6" w14:textId="164563C0" w:rsidR="00FE3E0A" w:rsidRDefault="00FE3E0A" w:rsidP="00FE3E0A">
            <w:pPr>
              <w:rPr>
                <w:rFonts w:eastAsia="Arial Unicode MS"/>
              </w:rPr>
            </w:pPr>
            <w:r>
              <w:rPr>
                <w:rFonts w:eastAsia="Arial Unicode MS"/>
              </w:rPr>
              <w:t xml:space="preserve">NO. If an RRH client is not housed with your RRH assistance, you simply record the appropriate exit destination for them when they no longer wanted to continue with receiving your assistance and are being exited from the program. </w:t>
            </w:r>
          </w:p>
        </w:tc>
      </w:tr>
      <w:tr w:rsidR="00FE3E0A" w:rsidRPr="003920FE" w14:paraId="1D4FB4A3" w14:textId="77777777" w:rsidTr="00923EDC">
        <w:trPr>
          <w:trHeight w:val="360"/>
        </w:trPr>
        <w:tc>
          <w:tcPr>
            <w:tcW w:w="2008" w:type="pct"/>
            <w:gridSpan w:val="2"/>
            <w:shd w:val="clear" w:color="auto" w:fill="auto"/>
          </w:tcPr>
          <w:p w14:paraId="679E71E4" w14:textId="5E735A76" w:rsidR="00FE3E0A" w:rsidRPr="00AE3B72" w:rsidRDefault="00FE3E0A" w:rsidP="00FE3E0A">
            <w:pPr>
              <w:rPr>
                <w:rFonts w:cs="Arial"/>
                <w:color w:val="000000"/>
                <w:szCs w:val="22"/>
              </w:rPr>
            </w:pPr>
            <w:r>
              <w:rPr>
                <w:rFonts w:eastAsia="Arial Unicode MS"/>
              </w:rPr>
              <w:lastRenderedPageBreak/>
              <w:t>H</w:t>
            </w:r>
            <w:r w:rsidRPr="009F7742">
              <w:rPr>
                <w:rFonts w:eastAsia="Arial Unicode MS" w:hint="eastAsia"/>
              </w:rPr>
              <w:t xml:space="preserve">ow do we add </w:t>
            </w:r>
            <w:r>
              <w:rPr>
                <w:rFonts w:eastAsia="Arial Unicode MS"/>
              </w:rPr>
              <w:t>a</w:t>
            </w:r>
            <w:r w:rsidRPr="009F7742">
              <w:rPr>
                <w:rFonts w:eastAsia="Arial Unicode MS" w:hint="eastAsia"/>
              </w:rPr>
              <w:t xml:space="preserve"> </w:t>
            </w:r>
            <w:r>
              <w:rPr>
                <w:rFonts w:eastAsia="Arial Unicode MS"/>
              </w:rPr>
              <w:t xml:space="preserve">housing </w:t>
            </w:r>
            <w:r w:rsidRPr="009F7742">
              <w:rPr>
                <w:rFonts w:eastAsia="Arial Unicode MS" w:hint="eastAsia"/>
              </w:rPr>
              <w:t>move</w:t>
            </w:r>
            <w:r>
              <w:rPr>
                <w:rFonts w:eastAsia="Arial Unicode MS"/>
              </w:rPr>
              <w:t>-</w:t>
            </w:r>
            <w:r w:rsidRPr="009F7742">
              <w:rPr>
                <w:rFonts w:eastAsia="Arial Unicode MS" w:hint="eastAsia"/>
              </w:rPr>
              <w:t>in date?</w:t>
            </w:r>
          </w:p>
        </w:tc>
        <w:tc>
          <w:tcPr>
            <w:tcW w:w="2992" w:type="pct"/>
            <w:shd w:val="clear" w:color="auto" w:fill="auto"/>
          </w:tcPr>
          <w:p w14:paraId="44842A18" w14:textId="22B5C070" w:rsidR="00FE3E0A" w:rsidRDefault="00FE3E0A" w:rsidP="00FE3E0A">
            <w:pPr>
              <w:rPr>
                <w:rFonts w:eastAsia="Arial Unicode MS"/>
              </w:rPr>
            </w:pPr>
            <w:r>
              <w:rPr>
                <w:rFonts w:eastAsia="Arial Unicode MS"/>
              </w:rPr>
              <w:t>You enter the move-in date via the Enrollment screen.</w:t>
            </w:r>
          </w:p>
        </w:tc>
      </w:tr>
      <w:tr w:rsidR="00FE3E0A" w:rsidRPr="003920FE" w14:paraId="620F7AAB" w14:textId="77777777" w:rsidTr="00923EDC">
        <w:trPr>
          <w:trHeight w:val="360"/>
        </w:trPr>
        <w:tc>
          <w:tcPr>
            <w:tcW w:w="2008" w:type="pct"/>
            <w:gridSpan w:val="2"/>
            <w:shd w:val="clear" w:color="auto" w:fill="auto"/>
          </w:tcPr>
          <w:p w14:paraId="3E3BED74" w14:textId="111FA1A5" w:rsidR="00FE3E0A" w:rsidRDefault="00FE3E0A" w:rsidP="00FE3E0A">
            <w:pPr>
              <w:rPr>
                <w:rFonts w:eastAsia="Arial Unicode MS"/>
              </w:rPr>
            </w:pPr>
            <w:r w:rsidRPr="009F7742">
              <w:rPr>
                <w:rFonts w:eastAsia="Arial Unicode MS" w:hint="eastAsia"/>
              </w:rPr>
              <w:t xml:space="preserve">Where do we enter </w:t>
            </w:r>
            <w:r>
              <w:rPr>
                <w:rFonts w:eastAsia="Arial Unicode MS"/>
              </w:rPr>
              <w:t>C</w:t>
            </w:r>
            <w:r w:rsidRPr="009F7742">
              <w:rPr>
                <w:rFonts w:eastAsia="Arial Unicode MS" w:hint="eastAsia"/>
              </w:rPr>
              <w:t xml:space="preserve">lient </w:t>
            </w:r>
            <w:r>
              <w:rPr>
                <w:rFonts w:eastAsia="Arial Unicode MS"/>
              </w:rPr>
              <w:t>N</w:t>
            </w:r>
            <w:r w:rsidRPr="009F7742">
              <w:rPr>
                <w:rFonts w:eastAsia="Arial Unicode MS" w:hint="eastAsia"/>
              </w:rPr>
              <w:t>otes?</w:t>
            </w:r>
          </w:p>
        </w:tc>
        <w:tc>
          <w:tcPr>
            <w:tcW w:w="2992" w:type="pct"/>
            <w:shd w:val="clear" w:color="auto" w:fill="auto"/>
          </w:tcPr>
          <w:p w14:paraId="1C1162FE" w14:textId="0588F968" w:rsidR="00FE3E0A" w:rsidRDefault="0001039A" w:rsidP="00FE3E0A">
            <w:pPr>
              <w:rPr>
                <w:rFonts w:eastAsia="Arial Unicode MS"/>
              </w:rPr>
            </w:pPr>
            <w:hyperlink r:id="rId12" w:history="1">
              <w:r w:rsidR="00FE3E0A" w:rsidRPr="00B75971">
                <w:rPr>
                  <w:rStyle w:val="Hyperlink"/>
                  <w:rFonts w:eastAsia="Arial Unicode MS"/>
                  <w:sz w:val="22"/>
                </w:rPr>
                <w:t>https://get.clarityhs.help/hc/en-us/articles/115000463848-How-Do-I-Create-Client-Notes-</w:t>
              </w:r>
            </w:hyperlink>
            <w:r w:rsidR="00FE3E0A">
              <w:rPr>
                <w:rFonts w:eastAsia="Arial Unicode MS"/>
              </w:rPr>
              <w:t xml:space="preserve"> </w:t>
            </w:r>
          </w:p>
        </w:tc>
      </w:tr>
      <w:tr w:rsidR="00FE3E0A" w:rsidRPr="003920FE" w14:paraId="3E768540" w14:textId="77777777" w:rsidTr="006E1D59">
        <w:trPr>
          <w:trHeight w:val="360"/>
        </w:trPr>
        <w:tc>
          <w:tcPr>
            <w:tcW w:w="5000" w:type="pct"/>
            <w:gridSpan w:val="3"/>
            <w:shd w:val="clear" w:color="auto" w:fill="auto"/>
          </w:tcPr>
          <w:p w14:paraId="4ADDEA68" w14:textId="17EF4C66" w:rsidR="00FE3E0A" w:rsidRPr="009F7742" w:rsidRDefault="00FE3E0A" w:rsidP="00FE3E0A">
            <w:pPr>
              <w:rPr>
                <w:rFonts w:eastAsia="Arial Unicode MS"/>
              </w:rPr>
            </w:pPr>
            <w:r>
              <w:rPr>
                <w:rFonts w:eastAsia="Arial Unicode MS"/>
                <w:b/>
                <w:bCs/>
                <w:i/>
                <w:iCs/>
              </w:rPr>
              <w:t>Referrals and Community Queues</w:t>
            </w:r>
          </w:p>
        </w:tc>
      </w:tr>
      <w:tr w:rsidR="00FE3E0A" w:rsidRPr="003920FE" w14:paraId="2B1C7807" w14:textId="77777777" w:rsidTr="009B7E7B">
        <w:trPr>
          <w:trHeight w:val="360"/>
        </w:trPr>
        <w:tc>
          <w:tcPr>
            <w:tcW w:w="1964" w:type="pct"/>
            <w:shd w:val="clear" w:color="auto" w:fill="auto"/>
          </w:tcPr>
          <w:p w14:paraId="503B89B9" w14:textId="06A4A8EB" w:rsidR="00FE3E0A" w:rsidRPr="009F7742" w:rsidRDefault="00FE3E0A" w:rsidP="00FE3E0A">
            <w:pPr>
              <w:rPr>
                <w:rFonts w:eastAsia="Arial Unicode MS"/>
              </w:rPr>
            </w:pPr>
            <w:r>
              <w:rPr>
                <w:rFonts w:eastAsia="Arial Unicode MS"/>
              </w:rPr>
              <w:t xml:space="preserve">Do we need to report in Clarity those referrals made for </w:t>
            </w:r>
            <w:r w:rsidRPr="009F7742">
              <w:rPr>
                <w:rFonts w:eastAsia="Arial Unicode MS" w:hint="eastAsia"/>
              </w:rPr>
              <w:t>client</w:t>
            </w:r>
            <w:r>
              <w:rPr>
                <w:rFonts w:eastAsia="Arial Unicode MS"/>
              </w:rPr>
              <w:t>s served during the black-out period</w:t>
            </w:r>
            <w:r w:rsidRPr="009F7742">
              <w:rPr>
                <w:rFonts w:eastAsia="Arial Unicode MS" w:hint="eastAsia"/>
              </w:rPr>
              <w:t xml:space="preserve"> from </w:t>
            </w:r>
            <w:r>
              <w:rPr>
                <w:rFonts w:eastAsia="Arial Unicode MS"/>
              </w:rPr>
              <w:t>J</w:t>
            </w:r>
            <w:r w:rsidRPr="009F7742">
              <w:rPr>
                <w:rFonts w:eastAsia="Arial Unicode MS" w:hint="eastAsia"/>
              </w:rPr>
              <w:t>uly18th</w:t>
            </w:r>
            <w:r>
              <w:rPr>
                <w:rFonts w:eastAsia="Arial Unicode MS"/>
              </w:rPr>
              <w:t xml:space="preserve"> </w:t>
            </w:r>
            <w:r w:rsidRPr="009F7742">
              <w:rPr>
                <w:rFonts w:eastAsia="Arial Unicode MS" w:hint="eastAsia"/>
              </w:rPr>
              <w:t xml:space="preserve">to </w:t>
            </w:r>
            <w:r>
              <w:rPr>
                <w:rFonts w:eastAsia="Arial Unicode MS"/>
              </w:rPr>
              <w:t>A</w:t>
            </w:r>
            <w:r w:rsidRPr="009F7742">
              <w:rPr>
                <w:rFonts w:eastAsia="Arial Unicode MS" w:hint="eastAsia"/>
              </w:rPr>
              <w:t xml:space="preserve">ug 8th? </w:t>
            </w:r>
            <w:r w:rsidR="0088640B">
              <w:rPr>
                <w:rFonts w:eastAsia="Arial Unicode MS"/>
              </w:rPr>
              <w:t>Or o</w:t>
            </w:r>
            <w:r w:rsidRPr="009F7742">
              <w:rPr>
                <w:rFonts w:eastAsia="Arial Unicode MS" w:hint="eastAsia"/>
              </w:rPr>
              <w:t>nly add referrals on clients we did intakes on Aug 9th and after?</w:t>
            </w:r>
            <w:r>
              <w:rPr>
                <w:rFonts w:eastAsia="Arial Unicode MS"/>
              </w:rPr>
              <w:t xml:space="preserve"> </w:t>
            </w:r>
            <w:r w:rsidR="0088640B">
              <w:rPr>
                <w:rFonts w:eastAsia="Arial Unicode MS"/>
              </w:rPr>
              <w:t>A</w:t>
            </w:r>
            <w:r w:rsidRPr="009F7742">
              <w:rPr>
                <w:rFonts w:eastAsia="Arial Unicode MS" w:hint="eastAsia"/>
              </w:rPr>
              <w:t>nd do we back date those referrals?</w:t>
            </w:r>
          </w:p>
        </w:tc>
        <w:tc>
          <w:tcPr>
            <w:tcW w:w="3036" w:type="pct"/>
            <w:gridSpan w:val="2"/>
            <w:shd w:val="clear" w:color="auto" w:fill="auto"/>
          </w:tcPr>
          <w:p w14:paraId="171F696F" w14:textId="75F0E4AF" w:rsidR="00FE3E0A" w:rsidRPr="009F7742" w:rsidRDefault="00FE3E0A" w:rsidP="00FE3E0A">
            <w:pPr>
              <w:rPr>
                <w:rFonts w:eastAsia="Arial Unicode MS"/>
              </w:rPr>
            </w:pPr>
            <w:r>
              <w:rPr>
                <w:rFonts w:eastAsia="Arial Unicode MS"/>
              </w:rPr>
              <w:t xml:space="preserve">You do not need to report referrals made for clients served during the </w:t>
            </w:r>
            <w:r w:rsidR="00737E88">
              <w:rPr>
                <w:rFonts w:eastAsia="Arial Unicode MS"/>
              </w:rPr>
              <w:t>blackout</w:t>
            </w:r>
            <w:r>
              <w:rPr>
                <w:rFonts w:eastAsia="Arial Unicode MS"/>
              </w:rPr>
              <w:t xml:space="preserve"> period. For clients who are still active clients now and in need of PH </w:t>
            </w:r>
            <w:r w:rsidRPr="009F7742">
              <w:rPr>
                <w:rFonts w:eastAsia="Arial Unicode MS" w:hint="eastAsia"/>
              </w:rPr>
              <w:t>then you can add the referral</w:t>
            </w:r>
            <w:r>
              <w:rPr>
                <w:rFonts w:eastAsia="Arial Unicode MS"/>
              </w:rPr>
              <w:t xml:space="preserve"> (via the Community Queue)</w:t>
            </w:r>
            <w:r w:rsidRPr="009F7742">
              <w:rPr>
                <w:rFonts w:eastAsia="Arial Unicode MS" w:hint="eastAsia"/>
              </w:rPr>
              <w:t xml:space="preserve"> on 8/9 or </w:t>
            </w:r>
            <w:r>
              <w:rPr>
                <w:rFonts w:eastAsia="Arial Unicode MS"/>
              </w:rPr>
              <w:t>whenever the referral gets made</w:t>
            </w:r>
            <w:r w:rsidRPr="009F7742">
              <w:rPr>
                <w:rFonts w:eastAsia="Arial Unicode MS" w:hint="eastAsia"/>
              </w:rPr>
              <w:t>.</w:t>
            </w:r>
            <w:r>
              <w:rPr>
                <w:rFonts w:eastAsia="Arial Unicode MS"/>
              </w:rPr>
              <w:t xml:space="preserve"> You are not able to backdate referrals</w:t>
            </w:r>
            <w:r w:rsidR="00737E88">
              <w:rPr>
                <w:rFonts w:eastAsia="Arial Unicode MS"/>
              </w:rPr>
              <w:t>.</w:t>
            </w:r>
          </w:p>
        </w:tc>
      </w:tr>
      <w:tr w:rsidR="00FE3E0A" w:rsidRPr="003920FE" w14:paraId="036BCC38" w14:textId="77777777" w:rsidTr="009B7E7B">
        <w:trPr>
          <w:trHeight w:val="360"/>
        </w:trPr>
        <w:tc>
          <w:tcPr>
            <w:tcW w:w="1964" w:type="pct"/>
            <w:shd w:val="clear" w:color="auto" w:fill="auto"/>
            <w:hideMark/>
          </w:tcPr>
          <w:p w14:paraId="549F0375" w14:textId="3DC9BD75" w:rsidR="00FE3E0A" w:rsidRPr="009F7742" w:rsidRDefault="00FE3E0A" w:rsidP="00FE3E0A">
            <w:pPr>
              <w:rPr>
                <w:rFonts w:eastAsia="Arial Unicode MS"/>
              </w:rPr>
            </w:pPr>
            <w:r>
              <w:rPr>
                <w:rFonts w:eastAsia="Arial Unicode MS"/>
              </w:rPr>
              <w:t>How do I accept a referral to my RRH or PSH program?</w:t>
            </w:r>
          </w:p>
        </w:tc>
        <w:tc>
          <w:tcPr>
            <w:tcW w:w="3036" w:type="pct"/>
            <w:gridSpan w:val="2"/>
            <w:shd w:val="clear" w:color="auto" w:fill="auto"/>
            <w:hideMark/>
          </w:tcPr>
          <w:p w14:paraId="7354772B" w14:textId="563840FE" w:rsidR="00FE3E0A" w:rsidRPr="009F7742" w:rsidRDefault="00FE3E0A" w:rsidP="00FE3E0A">
            <w:pPr>
              <w:rPr>
                <w:rFonts w:eastAsia="Arial Unicode MS"/>
              </w:rPr>
            </w:pPr>
            <w:r w:rsidRPr="00795687">
              <w:rPr>
                <w:rFonts w:eastAsia="Arial Unicode MS"/>
              </w:rPr>
              <w:t xml:space="preserve">You accept the assigned referral to your agency from the Community Queue </w:t>
            </w:r>
            <w:r w:rsidR="00737E88" w:rsidRPr="00795687">
              <w:rPr>
                <w:rFonts w:eastAsia="Arial Unicode MS"/>
              </w:rPr>
              <w:t xml:space="preserve">by </w:t>
            </w:r>
            <w:r w:rsidRPr="00795687">
              <w:rPr>
                <w:rFonts w:eastAsia="Arial Unicode MS"/>
              </w:rPr>
              <w:t>enroll</w:t>
            </w:r>
            <w:r w:rsidR="00737E88" w:rsidRPr="00795687">
              <w:rPr>
                <w:rFonts w:eastAsia="Arial Unicode MS"/>
              </w:rPr>
              <w:t>ing</w:t>
            </w:r>
            <w:r w:rsidRPr="00795687">
              <w:rPr>
                <w:rFonts w:eastAsia="Arial Unicode MS"/>
              </w:rPr>
              <w:t xml:space="preserve"> them in your program.</w:t>
            </w:r>
            <w:r>
              <w:rPr>
                <w:rFonts w:eastAsia="Arial Unicode MS"/>
              </w:rPr>
              <w:t xml:space="preserve"> </w:t>
            </w:r>
          </w:p>
        </w:tc>
      </w:tr>
      <w:tr w:rsidR="00FE3E0A" w:rsidRPr="003920FE" w14:paraId="51A974BA" w14:textId="77777777" w:rsidTr="00E12338">
        <w:trPr>
          <w:trHeight w:val="37"/>
        </w:trPr>
        <w:tc>
          <w:tcPr>
            <w:tcW w:w="1964" w:type="pct"/>
            <w:shd w:val="clear" w:color="auto" w:fill="auto"/>
          </w:tcPr>
          <w:p w14:paraId="5986244F" w14:textId="45D13E43" w:rsidR="00FE3E0A" w:rsidRPr="00E12338" w:rsidRDefault="00FE3E0A" w:rsidP="00FE3E0A">
            <w:pPr>
              <w:rPr>
                <w:rFonts w:eastAsia="Arial Unicode MS"/>
                <w:b/>
                <w:bCs/>
                <w:i/>
                <w:iCs/>
              </w:rPr>
            </w:pPr>
            <w:r>
              <w:rPr>
                <w:rFonts w:eastAsia="Arial Unicode MS"/>
                <w:b/>
                <w:bCs/>
                <w:i/>
                <w:iCs/>
              </w:rPr>
              <w:t xml:space="preserve">Reporting, Rm and </w:t>
            </w:r>
            <w:proofErr w:type="spellStart"/>
            <w:r>
              <w:rPr>
                <w:rFonts w:eastAsia="Arial Unicode MS"/>
                <w:b/>
                <w:bCs/>
                <w:i/>
                <w:iCs/>
              </w:rPr>
              <w:t>Rme</w:t>
            </w:r>
            <w:proofErr w:type="spellEnd"/>
          </w:p>
        </w:tc>
        <w:tc>
          <w:tcPr>
            <w:tcW w:w="3036" w:type="pct"/>
            <w:gridSpan w:val="2"/>
            <w:shd w:val="clear" w:color="auto" w:fill="auto"/>
          </w:tcPr>
          <w:p w14:paraId="0A2BCBBC" w14:textId="5B527865" w:rsidR="00FE3E0A" w:rsidRPr="009F7742" w:rsidRDefault="00FE3E0A" w:rsidP="00FE3E0A">
            <w:pPr>
              <w:rPr>
                <w:rFonts w:eastAsia="Arial Unicode MS"/>
              </w:rPr>
            </w:pPr>
          </w:p>
        </w:tc>
      </w:tr>
      <w:tr w:rsidR="00FE3E0A" w:rsidRPr="003920FE" w14:paraId="7546486B" w14:textId="77777777" w:rsidTr="009B7E7B">
        <w:trPr>
          <w:trHeight w:val="720"/>
        </w:trPr>
        <w:tc>
          <w:tcPr>
            <w:tcW w:w="1964" w:type="pct"/>
            <w:shd w:val="clear" w:color="auto" w:fill="auto"/>
            <w:hideMark/>
          </w:tcPr>
          <w:p w14:paraId="6CEFF5C2" w14:textId="77777777" w:rsidR="00FE3E0A" w:rsidRPr="009F7742" w:rsidRDefault="00FE3E0A" w:rsidP="00FE3E0A">
            <w:pPr>
              <w:rPr>
                <w:rFonts w:eastAsia="Arial Unicode MS"/>
              </w:rPr>
            </w:pPr>
            <w:r w:rsidRPr="009F7742">
              <w:rPr>
                <w:rFonts w:eastAsia="Arial Unicode MS" w:hint="eastAsia"/>
              </w:rPr>
              <w:t>Will we still be able to get client counts in R</w:t>
            </w:r>
            <w:r>
              <w:rPr>
                <w:rFonts w:eastAsia="Arial Unicode MS"/>
              </w:rPr>
              <w:t xml:space="preserve"> m</w:t>
            </w:r>
            <w:r w:rsidRPr="009F7742">
              <w:rPr>
                <w:rFonts w:eastAsia="Arial Unicode MS" w:hint="eastAsia"/>
              </w:rPr>
              <w:t xml:space="preserve">inor, or do we need to find it in </w:t>
            </w:r>
            <w:r>
              <w:rPr>
                <w:rFonts w:eastAsia="Arial Unicode MS"/>
              </w:rPr>
              <w:t>Clarity</w:t>
            </w:r>
            <w:r w:rsidRPr="009F7742">
              <w:rPr>
                <w:rFonts w:eastAsia="Arial Unicode MS" w:hint="eastAsia"/>
              </w:rPr>
              <w:t>?</w:t>
            </w:r>
          </w:p>
        </w:tc>
        <w:tc>
          <w:tcPr>
            <w:tcW w:w="3036" w:type="pct"/>
            <w:gridSpan w:val="2"/>
            <w:shd w:val="clear" w:color="auto" w:fill="auto"/>
            <w:hideMark/>
          </w:tcPr>
          <w:p w14:paraId="4CB40CC9" w14:textId="4CFE5BB5" w:rsidR="00FE3E0A" w:rsidRPr="009F7742" w:rsidRDefault="00FE3E0A" w:rsidP="00FE3E0A">
            <w:pPr>
              <w:rPr>
                <w:rFonts w:eastAsia="Arial Unicode MS"/>
              </w:rPr>
            </w:pPr>
            <w:r>
              <w:rPr>
                <w:rFonts w:eastAsia="Arial Unicode MS"/>
              </w:rPr>
              <w:t>You will be able to continue to get client counts from R minor elevated when it is up and running, hopefully next month. In the meantime, you can use the Program Roster report in Clarity under Reports&gt;Program Based Reports. Be advised that this report has PII that must be stripped before sharing the report and that it must be saved securely.</w:t>
            </w:r>
          </w:p>
        </w:tc>
      </w:tr>
      <w:tr w:rsidR="00FE3E0A" w:rsidRPr="003920FE" w14:paraId="76204C0F" w14:textId="77777777" w:rsidTr="009B7E7B">
        <w:trPr>
          <w:trHeight w:val="360"/>
        </w:trPr>
        <w:tc>
          <w:tcPr>
            <w:tcW w:w="1964" w:type="pct"/>
            <w:shd w:val="clear" w:color="auto" w:fill="auto"/>
          </w:tcPr>
          <w:p w14:paraId="40187CD2" w14:textId="5B46195D" w:rsidR="00FE3E0A" w:rsidRPr="009F7742" w:rsidRDefault="00FE3E0A" w:rsidP="00FE3E0A">
            <w:pPr>
              <w:rPr>
                <w:rFonts w:eastAsia="Arial Unicode MS"/>
              </w:rPr>
            </w:pPr>
            <w:r>
              <w:rPr>
                <w:rFonts w:eastAsia="Arial Unicode MS"/>
              </w:rPr>
              <w:t xml:space="preserve">When will Rm and </w:t>
            </w:r>
            <w:proofErr w:type="spellStart"/>
            <w:r>
              <w:rPr>
                <w:rFonts w:eastAsia="Arial Unicode MS"/>
              </w:rPr>
              <w:t>Rme</w:t>
            </w:r>
            <w:proofErr w:type="spellEnd"/>
            <w:r>
              <w:rPr>
                <w:rFonts w:eastAsia="Arial Unicode MS"/>
              </w:rPr>
              <w:t xml:space="preserve"> be updated?</w:t>
            </w:r>
          </w:p>
        </w:tc>
        <w:tc>
          <w:tcPr>
            <w:tcW w:w="3036" w:type="pct"/>
            <w:gridSpan w:val="2"/>
            <w:shd w:val="clear" w:color="auto" w:fill="auto"/>
          </w:tcPr>
          <w:p w14:paraId="06794A33" w14:textId="47222B63" w:rsidR="00FE3E0A" w:rsidRDefault="00FE3E0A" w:rsidP="00FE3E0A">
            <w:r>
              <w:t>We expect them to be fully connected t</w:t>
            </w:r>
            <w:r w:rsidR="0088640B">
              <w:t>o</w:t>
            </w:r>
            <w:r>
              <w:t xml:space="preserve"> Clarity and updated by late September or early October. We will update all end users once this happens.</w:t>
            </w:r>
          </w:p>
        </w:tc>
      </w:tr>
      <w:tr w:rsidR="00FE3E0A" w:rsidRPr="003920FE" w14:paraId="5603F2D3" w14:textId="77777777" w:rsidTr="009B7E7B">
        <w:trPr>
          <w:trHeight w:val="360"/>
        </w:trPr>
        <w:tc>
          <w:tcPr>
            <w:tcW w:w="1964" w:type="pct"/>
            <w:shd w:val="clear" w:color="auto" w:fill="auto"/>
            <w:hideMark/>
          </w:tcPr>
          <w:p w14:paraId="2455253D" w14:textId="77777777" w:rsidR="00FE3E0A" w:rsidRPr="009F7742" w:rsidRDefault="00FE3E0A" w:rsidP="00FE3E0A">
            <w:pPr>
              <w:rPr>
                <w:rFonts w:eastAsia="Arial Unicode MS"/>
              </w:rPr>
            </w:pPr>
            <w:r w:rsidRPr="009F7742">
              <w:rPr>
                <w:rFonts w:eastAsia="Arial Unicode MS" w:hint="eastAsia"/>
              </w:rPr>
              <w:t>Where do we find our APR in clarity</w:t>
            </w:r>
            <w:r>
              <w:rPr>
                <w:rFonts w:eastAsia="Arial Unicode MS"/>
              </w:rPr>
              <w:t>?</w:t>
            </w:r>
          </w:p>
        </w:tc>
        <w:tc>
          <w:tcPr>
            <w:tcW w:w="3036" w:type="pct"/>
            <w:gridSpan w:val="2"/>
            <w:shd w:val="clear" w:color="auto" w:fill="auto"/>
            <w:hideMark/>
          </w:tcPr>
          <w:p w14:paraId="71824C14" w14:textId="77777777" w:rsidR="00FE3E0A" w:rsidRPr="009F7742" w:rsidRDefault="0001039A" w:rsidP="00FE3E0A">
            <w:pPr>
              <w:rPr>
                <w:rFonts w:eastAsia="Arial Unicode MS"/>
              </w:rPr>
            </w:pPr>
            <w:hyperlink r:id="rId13" w:history="1">
              <w:r w:rsidR="00FE3E0A" w:rsidRPr="00B75971">
                <w:rPr>
                  <w:rStyle w:val="Hyperlink"/>
                  <w:rFonts w:eastAsia="Arial Unicode MS"/>
                  <w:sz w:val="22"/>
                </w:rPr>
                <w:t>https://get.clarityhs.help/hc/en-us/articles/115013295968--HUDX-227-Annual-Performance-Report</w:t>
              </w:r>
            </w:hyperlink>
            <w:r w:rsidR="00FE3E0A">
              <w:rPr>
                <w:rFonts w:eastAsia="Arial Unicode MS"/>
              </w:rPr>
              <w:t xml:space="preserve"> </w:t>
            </w:r>
          </w:p>
        </w:tc>
      </w:tr>
      <w:tr w:rsidR="00FE3E0A" w:rsidRPr="003920FE" w14:paraId="5AFCF723" w14:textId="77777777" w:rsidTr="00E12338">
        <w:trPr>
          <w:trHeight w:val="720"/>
        </w:trPr>
        <w:tc>
          <w:tcPr>
            <w:tcW w:w="1964" w:type="pct"/>
            <w:shd w:val="clear" w:color="auto" w:fill="auto"/>
          </w:tcPr>
          <w:p w14:paraId="7087681C" w14:textId="6799CFD3" w:rsidR="00FE3E0A" w:rsidRPr="009F7742" w:rsidRDefault="00FE3E0A" w:rsidP="00FE3E0A">
            <w:pPr>
              <w:rPr>
                <w:rFonts w:eastAsia="Arial Unicode MS"/>
              </w:rPr>
            </w:pPr>
            <w:r w:rsidRPr="009F7742">
              <w:rPr>
                <w:rFonts w:eastAsia="Arial Unicode MS" w:hint="eastAsia"/>
              </w:rPr>
              <w:t>I have an APR due next month. I have run the APR in Service Point and downloaded to be put into SAGE. Is that ok?</w:t>
            </w:r>
          </w:p>
        </w:tc>
        <w:tc>
          <w:tcPr>
            <w:tcW w:w="3036" w:type="pct"/>
            <w:gridSpan w:val="2"/>
            <w:shd w:val="clear" w:color="auto" w:fill="auto"/>
          </w:tcPr>
          <w:p w14:paraId="12C6C379" w14:textId="77777777" w:rsidR="00FE3E0A" w:rsidRDefault="00FE3E0A" w:rsidP="00FE3E0A">
            <w:pPr>
              <w:rPr>
                <w:rFonts w:eastAsia="Arial Unicode MS"/>
              </w:rPr>
            </w:pPr>
            <w:r>
              <w:rPr>
                <w:rFonts w:eastAsia="Arial Unicode MS"/>
              </w:rPr>
              <w:t xml:space="preserve">If the information on your APR in </w:t>
            </w:r>
            <w:proofErr w:type="spellStart"/>
            <w:r>
              <w:rPr>
                <w:rFonts w:eastAsia="Arial Unicode MS"/>
              </w:rPr>
              <w:t>ServicePoint</w:t>
            </w:r>
            <w:proofErr w:type="spellEnd"/>
            <w:r>
              <w:rPr>
                <w:rFonts w:eastAsia="Arial Unicode MS"/>
              </w:rPr>
              <w:t xml:space="preserve"> was complete it is fine to use that for your submission. </w:t>
            </w:r>
          </w:p>
          <w:p w14:paraId="6E45A90F" w14:textId="77777777" w:rsidR="00FE3E0A" w:rsidRDefault="00FE3E0A" w:rsidP="00FE3E0A">
            <w:pPr>
              <w:rPr>
                <w:rFonts w:eastAsia="Arial Unicode MS"/>
              </w:rPr>
            </w:pPr>
          </w:p>
          <w:p w14:paraId="15B1E3C0" w14:textId="017395D2" w:rsidR="00FE3E0A" w:rsidRPr="009F7742" w:rsidRDefault="00FE3E0A" w:rsidP="00FE3E0A">
            <w:pPr>
              <w:rPr>
                <w:rFonts w:eastAsia="Arial Unicode MS"/>
              </w:rPr>
            </w:pPr>
            <w:r>
              <w:rPr>
                <w:rFonts w:eastAsia="Arial Unicode MS"/>
              </w:rPr>
              <w:t xml:space="preserve">The most up-to-date APR can be pulled from Clarity by following these directions: </w:t>
            </w:r>
            <w:hyperlink r:id="rId14" w:history="1">
              <w:r w:rsidRPr="00B75971">
                <w:rPr>
                  <w:rStyle w:val="Hyperlink"/>
                  <w:rFonts w:eastAsia="Arial Unicode MS" w:hint="eastAsia"/>
                  <w:sz w:val="22"/>
                </w:rPr>
                <w:t>https://get.clarityhs.help/hc/en-us/articles/115013295968--HUDX-227-Annual-Performance-Report</w:t>
              </w:r>
            </w:hyperlink>
            <w:r>
              <w:rPr>
                <w:rFonts w:eastAsia="Arial Unicode MS"/>
              </w:rPr>
              <w:t xml:space="preserve"> </w:t>
            </w:r>
          </w:p>
        </w:tc>
      </w:tr>
      <w:tr w:rsidR="00FE3E0A" w:rsidRPr="003920FE" w14:paraId="36DE305A" w14:textId="77777777" w:rsidTr="00E12338">
        <w:trPr>
          <w:trHeight w:val="720"/>
        </w:trPr>
        <w:tc>
          <w:tcPr>
            <w:tcW w:w="1964" w:type="pct"/>
            <w:shd w:val="clear" w:color="auto" w:fill="auto"/>
          </w:tcPr>
          <w:p w14:paraId="06ED7EA1" w14:textId="279E04A9" w:rsidR="00FE3E0A" w:rsidRPr="009F7742" w:rsidRDefault="00FE3E0A" w:rsidP="00FE3E0A">
            <w:pPr>
              <w:rPr>
                <w:rFonts w:eastAsia="Arial Unicode MS"/>
              </w:rPr>
            </w:pPr>
            <w:r>
              <w:rPr>
                <w:rFonts w:eastAsia="Arial Unicode MS"/>
              </w:rPr>
              <w:t xml:space="preserve">How should we be monitoring our data quality now, while Rm and </w:t>
            </w:r>
            <w:proofErr w:type="spellStart"/>
            <w:r>
              <w:rPr>
                <w:rFonts w:eastAsia="Arial Unicode MS"/>
              </w:rPr>
              <w:t>Rme</w:t>
            </w:r>
            <w:proofErr w:type="spellEnd"/>
            <w:r>
              <w:rPr>
                <w:rFonts w:eastAsia="Arial Unicode MS"/>
              </w:rPr>
              <w:t xml:space="preserve"> are not fully updated?</w:t>
            </w:r>
          </w:p>
        </w:tc>
        <w:tc>
          <w:tcPr>
            <w:tcW w:w="3036" w:type="pct"/>
            <w:gridSpan w:val="2"/>
            <w:shd w:val="clear" w:color="auto" w:fill="auto"/>
          </w:tcPr>
          <w:p w14:paraId="601F9684" w14:textId="51CF51F9" w:rsidR="00FE3E0A" w:rsidRDefault="00FE3E0A" w:rsidP="00FE3E0A">
            <w:pPr>
              <w:rPr>
                <w:rFonts w:eastAsia="Arial Unicode MS"/>
              </w:rPr>
            </w:pPr>
            <w:r>
              <w:rPr>
                <w:rFonts w:eastAsia="Arial Unicode MS"/>
              </w:rPr>
              <w:t xml:space="preserve">While we wait for Rm and </w:t>
            </w:r>
            <w:proofErr w:type="spellStart"/>
            <w:r>
              <w:rPr>
                <w:rFonts w:eastAsia="Arial Unicode MS"/>
              </w:rPr>
              <w:t>Rme</w:t>
            </w:r>
            <w:proofErr w:type="spellEnd"/>
            <w:r>
              <w:rPr>
                <w:rFonts w:eastAsia="Arial Unicode MS"/>
              </w:rPr>
              <w:t xml:space="preserve"> HMIS DQ reports to be available, we suggest using the APR to monitor for common DQ issues.</w:t>
            </w:r>
          </w:p>
        </w:tc>
      </w:tr>
    </w:tbl>
    <w:p w14:paraId="7A58CCBE" w14:textId="77777777" w:rsidR="00FC7BAA" w:rsidRPr="00ED6E9B" w:rsidRDefault="00FC7BAA" w:rsidP="009F7742">
      <w:pPr>
        <w:pBdr>
          <w:top w:val="nil"/>
          <w:left w:val="nil"/>
          <w:bottom w:val="nil"/>
          <w:right w:val="nil"/>
          <w:between w:val="nil"/>
        </w:pBdr>
        <w:shd w:val="clear" w:color="auto" w:fill="FFFFFF"/>
        <w:spacing w:before="40" w:after="40"/>
        <w:rPr>
          <w:rFonts w:eastAsia="Arial" w:cs="Arial"/>
          <w:color w:val="222222"/>
          <w:szCs w:val="22"/>
        </w:rPr>
      </w:pPr>
    </w:p>
    <w:sectPr w:rsidR="00FC7BAA" w:rsidRPr="00ED6E9B" w:rsidSect="009F7742">
      <w:headerReference w:type="even" r:id="rId15"/>
      <w:headerReference w:type="default" r:id="rId16"/>
      <w:footerReference w:type="even" r:id="rId17"/>
      <w:footerReference w:type="default" r:id="rId18"/>
      <w:pgSz w:w="12240" w:h="15840"/>
      <w:pgMar w:top="1440" w:right="1080" w:bottom="1080" w:left="1080" w:header="36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FF7DA" w14:textId="77777777" w:rsidR="0001039A" w:rsidRDefault="0001039A">
      <w:r>
        <w:separator/>
      </w:r>
    </w:p>
  </w:endnote>
  <w:endnote w:type="continuationSeparator" w:id="0">
    <w:p w14:paraId="010583AA" w14:textId="77777777" w:rsidR="0001039A" w:rsidRDefault="0001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mo">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0505128"/>
      <w:docPartObj>
        <w:docPartGallery w:val="Page Numbers (Bottom of Page)"/>
        <w:docPartUnique/>
      </w:docPartObj>
    </w:sdtPr>
    <w:sdtEndPr>
      <w:rPr>
        <w:rStyle w:val="PageNumber"/>
      </w:rPr>
    </w:sdtEndPr>
    <w:sdtContent>
      <w:p w14:paraId="744C4969" w14:textId="77777777" w:rsidR="009F7742" w:rsidRDefault="009F7742" w:rsidP="00B759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A9458B" w14:textId="77777777" w:rsidR="00FC7BAA" w:rsidRDefault="00FC7BAA">
    <w:pPr>
      <w:pBdr>
        <w:top w:val="nil"/>
        <w:left w:val="nil"/>
        <w:bottom w:val="nil"/>
        <w:right w:val="nil"/>
        <w:between w:val="nil"/>
      </w:pBdr>
      <w:tabs>
        <w:tab w:val="left" w:pos="7560"/>
      </w:tabs>
      <w:jc w:val="center"/>
      <w:rPr>
        <w:rFonts w:eastAsia="Arial" w:cs="Arial"/>
        <w:color w:val="000000"/>
        <w:szCs w:val="22"/>
      </w:rPr>
    </w:pPr>
  </w:p>
  <w:p w14:paraId="51DDBDD6" w14:textId="77777777" w:rsidR="00FC7BAA" w:rsidRDefault="00FC7BAA">
    <w:pPr>
      <w:pBdr>
        <w:top w:val="nil"/>
        <w:left w:val="nil"/>
        <w:bottom w:val="nil"/>
        <w:right w:val="nil"/>
        <w:between w:val="nil"/>
      </w:pBdr>
      <w:tabs>
        <w:tab w:val="left" w:pos="7560"/>
      </w:tabs>
      <w:rPr>
        <w:rFonts w:eastAsia="Arial"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606203"/>
      <w:docPartObj>
        <w:docPartGallery w:val="Page Numbers (Bottom of Page)"/>
        <w:docPartUnique/>
      </w:docPartObj>
    </w:sdtPr>
    <w:sdtEndPr>
      <w:rPr>
        <w:rStyle w:val="PageNumber"/>
      </w:rPr>
    </w:sdtEndPr>
    <w:sdtContent>
      <w:p w14:paraId="24DBFF96" w14:textId="77777777" w:rsidR="009F7742" w:rsidRDefault="009F7742" w:rsidP="00B759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26E8E43A" w14:textId="7BF2DB1C" w:rsidR="00FC7BAA" w:rsidRDefault="00B11B1D">
    <w:pPr>
      <w:pBdr>
        <w:top w:val="nil"/>
        <w:left w:val="nil"/>
        <w:bottom w:val="nil"/>
        <w:right w:val="nil"/>
        <w:between w:val="nil"/>
      </w:pBdr>
      <w:tabs>
        <w:tab w:val="left" w:pos="7560"/>
      </w:tabs>
      <w:rPr>
        <w:rFonts w:eastAsia="Arial" w:cs="Arial"/>
        <w:color w:val="000000"/>
        <w:szCs w:val="22"/>
      </w:rPr>
    </w:pPr>
    <w:r>
      <w:rPr>
        <w:rFonts w:eastAsia="Arial" w:cs="Arial"/>
        <w:color w:val="000000"/>
        <w:szCs w:val="22"/>
      </w:rPr>
      <w:t>Created by COHHIO for the Ohio BoSCoC</w:t>
    </w:r>
    <w:r>
      <w:rPr>
        <w:rFonts w:eastAsia="Arial" w:cs="Arial"/>
        <w:color w:val="000000"/>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7F884" w14:textId="77777777" w:rsidR="0001039A" w:rsidRDefault="0001039A">
      <w:r>
        <w:separator/>
      </w:r>
    </w:p>
  </w:footnote>
  <w:footnote w:type="continuationSeparator" w:id="0">
    <w:p w14:paraId="0F199BEB" w14:textId="77777777" w:rsidR="0001039A" w:rsidRDefault="0001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C41EC" w14:textId="77777777" w:rsidR="00FC7BAA" w:rsidRDefault="00B11B1D">
    <w:pPr>
      <w:pBdr>
        <w:top w:val="nil"/>
        <w:left w:val="nil"/>
        <w:bottom w:val="nil"/>
        <w:right w:val="nil"/>
        <w:between w:val="nil"/>
      </w:pBdr>
      <w:tabs>
        <w:tab w:val="center" w:pos="4680"/>
        <w:tab w:val="right" w:pos="9360"/>
      </w:tabs>
      <w:jc w:val="right"/>
      <w:rPr>
        <w:rFonts w:eastAsia="Arial" w:cs="Arial"/>
        <w:color w:val="000000"/>
        <w:szCs w:val="22"/>
      </w:rPr>
    </w:pPr>
    <w:r>
      <w:rPr>
        <w:rFonts w:eastAsia="Arial" w:cs="Arial"/>
        <w:noProof/>
        <w:color w:val="000000"/>
        <w:szCs w:val="22"/>
      </w:rPr>
      <w:drawing>
        <wp:inline distT="0" distB="0" distL="0" distR="0" wp14:anchorId="27FF948F" wp14:editId="12F2E700">
          <wp:extent cx="6400800" cy="3034030"/>
          <wp:effectExtent l="0" t="0" r="0" b="0"/>
          <wp:docPr id="9" name="image2.png" descr="unnamed"/>
          <wp:cNvGraphicFramePr/>
          <a:graphic xmlns:a="http://schemas.openxmlformats.org/drawingml/2006/main">
            <a:graphicData uri="http://schemas.openxmlformats.org/drawingml/2006/picture">
              <pic:pic xmlns:pic="http://schemas.openxmlformats.org/drawingml/2006/picture">
                <pic:nvPicPr>
                  <pic:cNvPr id="0" name="image2.png" descr="unnamed"/>
                  <pic:cNvPicPr preferRelativeResize="0"/>
                </pic:nvPicPr>
                <pic:blipFill>
                  <a:blip r:embed="rId1"/>
                  <a:srcRect/>
                  <a:stretch>
                    <a:fillRect/>
                  </a:stretch>
                </pic:blipFill>
                <pic:spPr>
                  <a:xfrm>
                    <a:off x="0" y="0"/>
                    <a:ext cx="6400800" cy="3034030"/>
                  </a:xfrm>
                  <a:prstGeom prst="rect">
                    <a:avLst/>
                  </a:prstGeom>
                  <a:ln/>
                </pic:spPr>
              </pic:pic>
            </a:graphicData>
          </a:graphic>
        </wp:inline>
      </w:drawing>
    </w:r>
    <w:r>
      <w:rPr>
        <w:rFonts w:eastAsia="Arial" w:cs="Arial"/>
        <w:noProof/>
        <w:color w:val="000000"/>
        <w:szCs w:val="22"/>
      </w:rPr>
      <w:drawing>
        <wp:inline distT="0" distB="0" distL="0" distR="0" wp14:anchorId="0B94B58F" wp14:editId="6305D828">
          <wp:extent cx="6400800" cy="3034030"/>
          <wp:effectExtent l="0" t="0" r="0" b="0"/>
          <wp:docPr id="8" name="image2.png" descr="unnamed"/>
          <wp:cNvGraphicFramePr/>
          <a:graphic xmlns:a="http://schemas.openxmlformats.org/drawingml/2006/main">
            <a:graphicData uri="http://schemas.openxmlformats.org/drawingml/2006/picture">
              <pic:pic xmlns:pic="http://schemas.openxmlformats.org/drawingml/2006/picture">
                <pic:nvPicPr>
                  <pic:cNvPr id="0" name="image2.png" descr="unnamed"/>
                  <pic:cNvPicPr preferRelativeResize="0"/>
                </pic:nvPicPr>
                <pic:blipFill>
                  <a:blip r:embed="rId1"/>
                  <a:srcRect/>
                  <a:stretch>
                    <a:fillRect/>
                  </a:stretch>
                </pic:blipFill>
                <pic:spPr>
                  <a:xfrm>
                    <a:off x="0" y="0"/>
                    <a:ext cx="6400800" cy="3034030"/>
                  </a:xfrm>
                  <a:prstGeom prst="rect">
                    <a:avLst/>
                  </a:prstGeom>
                  <a:ln/>
                </pic:spPr>
              </pic:pic>
            </a:graphicData>
          </a:graphic>
        </wp:inline>
      </w:drawing>
    </w:r>
    <w:r>
      <w:rPr>
        <w:rFonts w:eastAsia="Arial" w:cs="Arial"/>
        <w:noProof/>
        <w:color w:val="000000"/>
        <w:szCs w:val="22"/>
      </w:rPr>
      <w:drawing>
        <wp:inline distT="0" distB="0" distL="0" distR="0" wp14:anchorId="724272FC" wp14:editId="7A42226F">
          <wp:extent cx="6400800" cy="3034030"/>
          <wp:effectExtent l="0" t="0" r="0" b="0"/>
          <wp:docPr id="11" name="image2.png" descr="unnamed"/>
          <wp:cNvGraphicFramePr/>
          <a:graphic xmlns:a="http://schemas.openxmlformats.org/drawingml/2006/main">
            <a:graphicData uri="http://schemas.openxmlformats.org/drawingml/2006/picture">
              <pic:pic xmlns:pic="http://schemas.openxmlformats.org/drawingml/2006/picture">
                <pic:nvPicPr>
                  <pic:cNvPr id="0" name="image2.png" descr="unnamed"/>
                  <pic:cNvPicPr preferRelativeResize="0"/>
                </pic:nvPicPr>
                <pic:blipFill>
                  <a:blip r:embed="rId1"/>
                  <a:srcRect/>
                  <a:stretch>
                    <a:fillRect/>
                  </a:stretch>
                </pic:blipFill>
                <pic:spPr>
                  <a:xfrm>
                    <a:off x="0" y="0"/>
                    <a:ext cx="6400800" cy="3034030"/>
                  </a:xfrm>
                  <a:prstGeom prst="rect">
                    <a:avLst/>
                  </a:prstGeom>
                  <a:ln/>
                </pic:spPr>
              </pic:pic>
            </a:graphicData>
          </a:graphic>
        </wp:inline>
      </w:drawing>
    </w:r>
  </w:p>
  <w:p w14:paraId="54E9F3BE" w14:textId="77777777" w:rsidR="00FC7BAA" w:rsidRDefault="00B11B1D">
    <w:r>
      <w:rPr>
        <w:noProof/>
      </w:rPr>
      <w:drawing>
        <wp:inline distT="0" distB="0" distL="0" distR="0" wp14:anchorId="562FE3F3" wp14:editId="0648C336">
          <wp:extent cx="6400800" cy="3034030"/>
          <wp:effectExtent l="0" t="0" r="0" b="0"/>
          <wp:docPr id="10" name="image2.png" descr="unnamed"/>
          <wp:cNvGraphicFramePr/>
          <a:graphic xmlns:a="http://schemas.openxmlformats.org/drawingml/2006/main">
            <a:graphicData uri="http://schemas.openxmlformats.org/drawingml/2006/picture">
              <pic:pic xmlns:pic="http://schemas.openxmlformats.org/drawingml/2006/picture">
                <pic:nvPicPr>
                  <pic:cNvPr id="0" name="image2.png" descr="unnamed"/>
                  <pic:cNvPicPr preferRelativeResize="0"/>
                </pic:nvPicPr>
                <pic:blipFill>
                  <a:blip r:embed="rId1"/>
                  <a:srcRect/>
                  <a:stretch>
                    <a:fillRect/>
                  </a:stretch>
                </pic:blipFill>
                <pic:spPr>
                  <a:xfrm>
                    <a:off x="0" y="0"/>
                    <a:ext cx="6400800" cy="3034030"/>
                  </a:xfrm>
                  <a:prstGeom prst="rect">
                    <a:avLst/>
                  </a:prstGeom>
                  <a:ln/>
                </pic:spPr>
              </pic:pic>
            </a:graphicData>
          </a:graphic>
        </wp:inline>
      </w:drawing>
    </w:r>
    <w:r>
      <w:rPr>
        <w:noProof/>
      </w:rPr>
      <w:drawing>
        <wp:inline distT="0" distB="0" distL="0" distR="0" wp14:anchorId="3075B19B" wp14:editId="2E2B499F">
          <wp:extent cx="6400800" cy="305181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00800" cy="305181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EDAE" w14:textId="77777777" w:rsidR="00FC7BAA" w:rsidRDefault="00B11B1D">
    <w:pPr>
      <w:pBdr>
        <w:top w:val="nil"/>
        <w:left w:val="nil"/>
        <w:bottom w:val="nil"/>
        <w:right w:val="nil"/>
        <w:between w:val="nil"/>
      </w:pBdr>
      <w:tabs>
        <w:tab w:val="center" w:pos="4680"/>
        <w:tab w:val="right" w:pos="9360"/>
      </w:tabs>
      <w:jc w:val="center"/>
      <w:rPr>
        <w:rFonts w:eastAsia="Arial" w:cs="Arial"/>
        <w:color w:val="000000"/>
        <w:szCs w:val="22"/>
      </w:rPr>
    </w:pPr>
    <w:r>
      <w:rPr>
        <w:rFonts w:eastAsia="Arial" w:cs="Arial"/>
        <w:noProof/>
        <w:color w:val="000000"/>
        <w:szCs w:val="22"/>
      </w:rPr>
      <w:drawing>
        <wp:anchor distT="0" distB="0" distL="114300" distR="114300" simplePos="0" relativeHeight="251658240" behindDoc="0" locked="0" layoutInCell="1" hidden="0" allowOverlap="1" wp14:anchorId="4DB42916" wp14:editId="1399000B">
          <wp:simplePos x="0" y="0"/>
          <wp:positionH relativeFrom="page">
            <wp:posOffset>365760</wp:posOffset>
          </wp:positionH>
          <wp:positionV relativeFrom="page">
            <wp:posOffset>228600</wp:posOffset>
          </wp:positionV>
          <wp:extent cx="958922" cy="4572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8922" cy="457200"/>
                  </a:xfrm>
                  <a:prstGeom prst="rect">
                    <a:avLst/>
                  </a:prstGeom>
                  <a:ln/>
                </pic:spPr>
              </pic:pic>
            </a:graphicData>
          </a:graphic>
        </wp:anchor>
      </w:drawing>
    </w:r>
    <w:r>
      <w:rPr>
        <w:rFonts w:eastAsia="Arial" w:cs="Arial"/>
        <w:color w:val="000000"/>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00894"/>
    <w:multiLevelType w:val="multilevel"/>
    <w:tmpl w:val="940036F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AA"/>
    <w:rsid w:val="0001039A"/>
    <w:rsid w:val="00026086"/>
    <w:rsid w:val="00055360"/>
    <w:rsid w:val="00063AB4"/>
    <w:rsid w:val="000651AA"/>
    <w:rsid w:val="000752AA"/>
    <w:rsid w:val="000E26F6"/>
    <w:rsid w:val="002D28E7"/>
    <w:rsid w:val="0035381D"/>
    <w:rsid w:val="003F3F8F"/>
    <w:rsid w:val="003F58F5"/>
    <w:rsid w:val="00420BF3"/>
    <w:rsid w:val="0056087A"/>
    <w:rsid w:val="00583F17"/>
    <w:rsid w:val="005B6034"/>
    <w:rsid w:val="006B37EE"/>
    <w:rsid w:val="006E1D59"/>
    <w:rsid w:val="006E4E8C"/>
    <w:rsid w:val="00736599"/>
    <w:rsid w:val="00737E88"/>
    <w:rsid w:val="00795687"/>
    <w:rsid w:val="007D0270"/>
    <w:rsid w:val="0082238E"/>
    <w:rsid w:val="0088640B"/>
    <w:rsid w:val="008F20ED"/>
    <w:rsid w:val="00923EDC"/>
    <w:rsid w:val="009B7E7B"/>
    <w:rsid w:val="009C79AD"/>
    <w:rsid w:val="009F7742"/>
    <w:rsid w:val="00A61035"/>
    <w:rsid w:val="00A63694"/>
    <w:rsid w:val="00AB6CC0"/>
    <w:rsid w:val="00AC5426"/>
    <w:rsid w:val="00AD1F1E"/>
    <w:rsid w:val="00AE37F4"/>
    <w:rsid w:val="00AE3B72"/>
    <w:rsid w:val="00B11B1D"/>
    <w:rsid w:val="00B555DA"/>
    <w:rsid w:val="00C3250D"/>
    <w:rsid w:val="00CC0F9E"/>
    <w:rsid w:val="00D11092"/>
    <w:rsid w:val="00D25137"/>
    <w:rsid w:val="00D7795D"/>
    <w:rsid w:val="00E12338"/>
    <w:rsid w:val="00E54BD6"/>
    <w:rsid w:val="00ED6E9B"/>
    <w:rsid w:val="00FB6F7A"/>
    <w:rsid w:val="00FC7BAA"/>
    <w:rsid w:val="00FE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BEDB"/>
  <w15:docId w15:val="{759F7144-5E6B-574D-AE96-59C638EC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hio BoSCoC Normal"/>
    <w:qFormat/>
    <w:rsid w:val="003F58F5"/>
    <w:pPr>
      <w:spacing w:before="0" w:after="0"/>
    </w:pPr>
    <w:rPr>
      <w:rFonts w:eastAsia="Times New Roman" w:cs="Times New Roman"/>
      <w:szCs w:val="24"/>
    </w:rPr>
  </w:style>
  <w:style w:type="paragraph" w:styleId="Heading1">
    <w:name w:val="heading 1"/>
    <w:aliases w:val="Ohio BoSCoC Heading 1"/>
    <w:basedOn w:val="Normal"/>
    <w:next w:val="Normal"/>
    <w:link w:val="Heading1Char"/>
    <w:uiPriority w:val="9"/>
    <w:qFormat/>
    <w:rsid w:val="003A5340"/>
    <w:pPr>
      <w:keepNext/>
      <w:keepLines/>
      <w:spacing w:before="360" w:after="120"/>
      <w:outlineLvl w:val="0"/>
    </w:pPr>
    <w:rPr>
      <w:rFonts w:eastAsiaTheme="majorEastAsia" w:cstheme="majorBidi"/>
      <w:b/>
      <w:bCs/>
      <w:sz w:val="28"/>
      <w:szCs w:val="28"/>
    </w:rPr>
  </w:style>
  <w:style w:type="paragraph" w:styleId="Heading2">
    <w:name w:val="heading 2"/>
    <w:aliases w:val="Ohio BoSCoC Heading 2"/>
    <w:basedOn w:val="Normal"/>
    <w:next w:val="Normal"/>
    <w:link w:val="Heading2Char"/>
    <w:uiPriority w:val="9"/>
    <w:semiHidden/>
    <w:unhideWhenUsed/>
    <w:qFormat/>
    <w:rsid w:val="003A5340"/>
    <w:pPr>
      <w:keepNext/>
      <w:keepLines/>
      <w:spacing w:before="200" w:after="120"/>
      <w:outlineLvl w:val="1"/>
    </w:pPr>
    <w:rPr>
      <w:rFonts w:eastAsiaTheme="majorEastAsia" w:cstheme="majorBidi"/>
      <w:b/>
      <w:bCs/>
      <w:szCs w:val="26"/>
    </w:rPr>
  </w:style>
  <w:style w:type="paragraph" w:styleId="Heading3">
    <w:name w:val="heading 3"/>
    <w:aliases w:val="Ohio BoSCoC Heading 3"/>
    <w:basedOn w:val="Normal"/>
    <w:next w:val="Normal"/>
    <w:link w:val="Heading3Char"/>
    <w:uiPriority w:val="9"/>
    <w:semiHidden/>
    <w:unhideWhenUsed/>
    <w:qFormat/>
    <w:rsid w:val="005B1641"/>
    <w:pPr>
      <w:keepNext/>
      <w:keepLines/>
      <w:spacing w:before="200" w:after="60"/>
      <w:outlineLvl w:val="2"/>
    </w:pPr>
    <w:rPr>
      <w:rFonts w:eastAsiaTheme="majorEastAsia" w:cstheme="majorBidi"/>
      <w:b/>
      <w:bCs/>
      <w:color w:val="548DD4" w:themeColor="text2" w:themeTint="99"/>
    </w:rPr>
  </w:style>
  <w:style w:type="paragraph" w:styleId="Heading4">
    <w:name w:val="heading 4"/>
    <w:aliases w:val="Ohio BoSCoC Heading 4"/>
    <w:basedOn w:val="Normal"/>
    <w:next w:val="Normal"/>
    <w:link w:val="Heading4Char"/>
    <w:uiPriority w:val="9"/>
    <w:semiHidden/>
    <w:unhideWhenUsed/>
    <w:qFormat/>
    <w:rsid w:val="0052525D"/>
    <w:pPr>
      <w:keepNext/>
      <w:keepLines/>
      <w:spacing w:before="200"/>
      <w:outlineLvl w:val="3"/>
    </w:pPr>
    <w:rPr>
      <w:rFonts w:eastAsiaTheme="majorEastAsia" w:cstheme="majorBidi"/>
      <w:b/>
      <w:bCs/>
      <w:i/>
      <w:iCs/>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Ohio BoSCoC Title"/>
    <w:basedOn w:val="Normal"/>
    <w:next w:val="Normal"/>
    <w:link w:val="TitleChar"/>
    <w:uiPriority w:val="10"/>
    <w:qFormat/>
    <w:rsid w:val="00A32BC6"/>
    <w:pPr>
      <w:spacing w:after="120"/>
      <w:contextualSpacing/>
      <w:jc w:val="center"/>
    </w:pPr>
    <w:rPr>
      <w:rFonts w:eastAsiaTheme="majorEastAsia" w:cstheme="majorBidi"/>
      <w:b/>
      <w:spacing w:val="5"/>
      <w:kern w:val="28"/>
      <w:sz w:val="48"/>
      <w:szCs w:val="52"/>
    </w:rPr>
  </w:style>
  <w:style w:type="paragraph" w:styleId="NoSpacing">
    <w:name w:val="No Spacing"/>
    <w:aliases w:val="Ohio BoSCoC No Spacing"/>
    <w:autoRedefine/>
    <w:uiPriority w:val="1"/>
    <w:qFormat/>
    <w:rsid w:val="00033738"/>
    <w:pPr>
      <w:spacing w:after="0"/>
      <w:jc w:val="center"/>
    </w:pPr>
    <w:rPr>
      <w:sz w:val="20"/>
      <w:shd w:val="clear" w:color="auto" w:fill="FFFFFF"/>
    </w:rPr>
  </w:style>
  <w:style w:type="character" w:customStyle="1" w:styleId="Heading1Char">
    <w:name w:val="Heading 1 Char"/>
    <w:aliases w:val="Ohio BoSCoC Heading 1 Char"/>
    <w:basedOn w:val="DefaultParagraphFont"/>
    <w:link w:val="Heading1"/>
    <w:uiPriority w:val="9"/>
    <w:rsid w:val="003A5340"/>
    <w:rPr>
      <w:rFonts w:ascii="Arial" w:eastAsiaTheme="majorEastAsia" w:hAnsi="Arial" w:cstheme="majorBidi"/>
      <w:b/>
      <w:bCs/>
      <w:sz w:val="28"/>
      <w:szCs w:val="28"/>
    </w:rPr>
  </w:style>
  <w:style w:type="character" w:customStyle="1" w:styleId="Heading2Char">
    <w:name w:val="Heading 2 Char"/>
    <w:aliases w:val="Ohio BoSCoC Heading 2 Char"/>
    <w:basedOn w:val="DefaultParagraphFont"/>
    <w:link w:val="Heading2"/>
    <w:uiPriority w:val="9"/>
    <w:rsid w:val="003A5340"/>
    <w:rPr>
      <w:rFonts w:ascii="Arial" w:eastAsiaTheme="majorEastAsia" w:hAnsi="Arial" w:cstheme="majorBidi"/>
      <w:b/>
      <w:bCs/>
      <w:szCs w:val="26"/>
    </w:rPr>
  </w:style>
  <w:style w:type="character" w:customStyle="1" w:styleId="TitleChar">
    <w:name w:val="Title Char"/>
    <w:aliases w:val="Ohio BoSCoC Title Char"/>
    <w:basedOn w:val="DefaultParagraphFont"/>
    <w:link w:val="Title"/>
    <w:uiPriority w:val="10"/>
    <w:rsid w:val="00A32BC6"/>
    <w:rPr>
      <w:rFonts w:ascii="Arial" w:eastAsiaTheme="majorEastAsia" w:hAnsi="Arial" w:cstheme="majorBidi"/>
      <w:b/>
      <w:spacing w:val="5"/>
      <w:kern w:val="28"/>
      <w:sz w:val="48"/>
      <w:szCs w:val="52"/>
    </w:rPr>
  </w:style>
  <w:style w:type="paragraph" w:styleId="Subtitle">
    <w:name w:val="Subtitle"/>
    <w:basedOn w:val="Normal"/>
    <w:next w:val="Normal"/>
    <w:link w:val="SubtitleChar"/>
    <w:uiPriority w:val="11"/>
    <w:qFormat/>
    <w:pPr>
      <w:spacing w:after="120"/>
      <w:jc w:val="center"/>
    </w:pPr>
    <w:rPr>
      <w:b/>
      <w:sz w:val="32"/>
      <w:szCs w:val="32"/>
    </w:rPr>
  </w:style>
  <w:style w:type="character" w:customStyle="1" w:styleId="SubtitleChar">
    <w:name w:val="Subtitle Char"/>
    <w:basedOn w:val="DefaultParagraphFont"/>
    <w:link w:val="Subtitle"/>
    <w:uiPriority w:val="11"/>
    <w:rsid w:val="00067FE9"/>
    <w:rPr>
      <w:rFonts w:ascii="Arial" w:eastAsiaTheme="majorEastAsia" w:hAnsi="Arial" w:cs="Times New Roman (Headings CS)"/>
      <w:b/>
      <w:kern w:val="28"/>
      <w:sz w:val="32"/>
      <w:szCs w:val="32"/>
    </w:rPr>
  </w:style>
  <w:style w:type="character" w:styleId="SubtleEmphasis">
    <w:name w:val="Subtle Emphasis"/>
    <w:aliases w:val="Ohio BoSCoC Subtle Emphasis"/>
    <w:basedOn w:val="DefaultParagraphFont"/>
    <w:uiPriority w:val="19"/>
    <w:qFormat/>
    <w:rsid w:val="00426B3D"/>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75552C"/>
    <w:rPr>
      <w:rFonts w:ascii="Arial" w:hAnsi="Arial"/>
      <w:i/>
      <w:iCs/>
      <w:sz w:val="24"/>
    </w:rPr>
  </w:style>
  <w:style w:type="character" w:styleId="IntenseEmphasis">
    <w:name w:val="Intense Emphasis"/>
    <w:aliases w:val="Ohio BoSCoC Intense Emphasis"/>
    <w:basedOn w:val="DefaultParagraphFont"/>
    <w:uiPriority w:val="21"/>
    <w:qFormat/>
    <w:rsid w:val="0075552C"/>
    <w:rPr>
      <w:rFonts w:ascii="Arial" w:hAnsi="Arial"/>
      <w:b/>
      <w:bCs/>
      <w:i/>
      <w:iCs/>
      <w:color w:val="auto"/>
      <w:sz w:val="24"/>
    </w:rPr>
  </w:style>
  <w:style w:type="character" w:styleId="Strong">
    <w:name w:val="Strong"/>
    <w:aliases w:val="Ohio BoSCoC Strong"/>
    <w:basedOn w:val="DefaultParagraphFont"/>
    <w:uiPriority w:val="22"/>
    <w:qFormat/>
    <w:rsid w:val="0075552C"/>
    <w:rPr>
      <w:rFonts w:ascii="Arial" w:hAnsi="Arial"/>
      <w:b/>
      <w:bCs/>
      <w:sz w:val="24"/>
    </w:rPr>
  </w:style>
  <w:style w:type="paragraph" w:styleId="Quote">
    <w:name w:val="Quote"/>
    <w:aliases w:val="Ohio BoSCoC Quote"/>
    <w:basedOn w:val="Normal"/>
    <w:next w:val="Normal"/>
    <w:link w:val="QuoteChar"/>
    <w:uiPriority w:val="29"/>
    <w:qFormat/>
    <w:rsid w:val="0075552C"/>
    <w:rPr>
      <w:i/>
      <w:iCs/>
      <w:color w:val="000000" w:themeColor="text1"/>
    </w:rPr>
  </w:style>
  <w:style w:type="character" w:customStyle="1" w:styleId="QuoteChar">
    <w:name w:val="Quote Char"/>
    <w:aliases w:val="Ohio BoSCoC Quote Char"/>
    <w:basedOn w:val="DefaultParagraphFont"/>
    <w:link w:val="Quote"/>
    <w:uiPriority w:val="29"/>
    <w:rsid w:val="0075552C"/>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75552C"/>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75552C"/>
    <w:rPr>
      <w:rFonts w:ascii="Arial" w:hAnsi="Arial"/>
      <w:b/>
      <w:bCs/>
      <w:i/>
      <w:iCs/>
      <w:sz w:val="20"/>
    </w:rPr>
  </w:style>
  <w:style w:type="character" w:styleId="SubtleReference">
    <w:name w:val="Subtle Reference"/>
    <w:aliases w:val="Ohio BoSCoC Subtle Reference"/>
    <w:basedOn w:val="DefaultParagraphFont"/>
    <w:uiPriority w:val="31"/>
    <w:qFormat/>
    <w:rsid w:val="00295015"/>
    <w:rPr>
      <w:rFonts w:ascii="Arial" w:hAnsi="Arial"/>
      <w:smallCaps/>
      <w:color w:val="auto"/>
      <w:sz w:val="20"/>
      <w:u w:val="single"/>
    </w:rPr>
  </w:style>
  <w:style w:type="paragraph" w:styleId="ListParagraph">
    <w:name w:val="List Paragraph"/>
    <w:aliases w:val="Ohio BoSCoC List Paragraph"/>
    <w:basedOn w:val="Normal"/>
    <w:link w:val="ListParagraphChar"/>
    <w:autoRedefine/>
    <w:uiPriority w:val="34"/>
    <w:qFormat/>
    <w:rsid w:val="00B42CCB"/>
    <w:pPr>
      <w:numPr>
        <w:numId w:val="1"/>
      </w:numPr>
      <w:spacing w:before="60" w:after="60"/>
      <w:ind w:hanging="360"/>
      <w:contextualSpacing/>
    </w:pPr>
    <w:rPr>
      <w:rFonts w:cs="Arial"/>
      <w:w w:val="105"/>
    </w:rPr>
  </w:style>
  <w:style w:type="character" w:customStyle="1" w:styleId="Heading3Char">
    <w:name w:val="Heading 3 Char"/>
    <w:aliases w:val="Ohio BoSCoC Heading 3 Char"/>
    <w:basedOn w:val="DefaultParagraphFont"/>
    <w:link w:val="Heading3"/>
    <w:uiPriority w:val="9"/>
    <w:rsid w:val="005B1641"/>
    <w:rPr>
      <w:rFonts w:ascii="Arial" w:eastAsiaTheme="majorEastAsia" w:hAnsi="Arial" w:cstheme="majorBidi"/>
      <w:b/>
      <w:bCs/>
      <w:color w:val="548DD4" w:themeColor="text2" w:themeTint="99"/>
      <w:sz w:val="20"/>
      <w:szCs w:val="24"/>
    </w:rPr>
  </w:style>
  <w:style w:type="paragraph" w:styleId="Header">
    <w:name w:val="header"/>
    <w:aliases w:val="Ohio BoSCoC Header"/>
    <w:basedOn w:val="Normal"/>
    <w:link w:val="HeaderChar"/>
    <w:uiPriority w:val="99"/>
    <w:unhideWhenUsed/>
    <w:rsid w:val="001C3229"/>
    <w:pPr>
      <w:tabs>
        <w:tab w:val="center" w:pos="4680"/>
        <w:tab w:val="right" w:pos="9360"/>
      </w:tabs>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59"/>
    <w:rsid w:val="005403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semiHidden/>
    <w:rsid w:val="0052525D"/>
    <w:rPr>
      <w:rFonts w:ascii="Arial" w:eastAsiaTheme="majorEastAsia" w:hAnsi="Arial" w:cstheme="majorBidi"/>
      <w:b/>
      <w:bCs/>
      <w:i/>
      <w:iCs/>
      <w:sz w:val="20"/>
    </w:rPr>
  </w:style>
  <w:style w:type="character" w:styleId="IntenseReference">
    <w:name w:val="Intense Reference"/>
    <w:aliases w:val="Ohio BoSCoC Intense Reference"/>
    <w:basedOn w:val="DefaultParagraphFont"/>
    <w:uiPriority w:val="32"/>
    <w:qFormat/>
    <w:rsid w:val="00295015"/>
    <w:rPr>
      <w:rFonts w:ascii="Arial" w:hAnsi="Arial"/>
      <w:b/>
      <w:bCs/>
      <w:smallCaps/>
      <w:color w:val="auto"/>
      <w:spacing w:val="5"/>
      <w:u w:val="single"/>
    </w:rPr>
  </w:style>
  <w:style w:type="character" w:styleId="BookTitle">
    <w:name w:val="Book Title"/>
    <w:basedOn w:val="DefaultParagraphFont"/>
    <w:uiPriority w:val="33"/>
    <w:qFormat/>
    <w:rsid w:val="00295015"/>
    <w:rPr>
      <w:rFonts w:ascii="Arial" w:hAnsi="Arial"/>
      <w:b/>
      <w:bCs/>
      <w:smallCaps/>
      <w:spacing w:val="5"/>
      <w:sz w:val="20"/>
    </w:rPr>
  </w:style>
  <w:style w:type="paragraph" w:customStyle="1" w:styleId="OhioBoSCoCTableItem">
    <w:name w:val="Ohio BoSCoC Table Item"/>
    <w:basedOn w:val="Normal"/>
    <w:link w:val="OhioBoSCoCTableItemChar"/>
    <w:qFormat/>
    <w:rsid w:val="00033738"/>
    <w:pPr>
      <w:jc w:val="center"/>
    </w:pPr>
    <w:rPr>
      <w:sz w:val="18"/>
      <w:szCs w:val="18"/>
    </w:rPr>
  </w:style>
  <w:style w:type="paragraph" w:customStyle="1" w:styleId="OhioBoSCoCTableHeader">
    <w:name w:val="Ohio BoSCoC Table Header"/>
    <w:basedOn w:val="Normal"/>
    <w:link w:val="OhioBoSCoCTableHeaderChar"/>
    <w:qFormat/>
    <w:rsid w:val="00033738"/>
    <w:pPr>
      <w:jc w:val="center"/>
    </w:pPr>
    <w:rPr>
      <w:b/>
      <w:sz w:val="18"/>
      <w:szCs w:val="18"/>
    </w:rPr>
  </w:style>
  <w:style w:type="character" w:customStyle="1" w:styleId="OhioBoSCoCTableItemChar">
    <w:name w:val="Ohio BoSCoC Table Item Char"/>
    <w:basedOn w:val="DefaultParagraphFont"/>
    <w:link w:val="OhioBoSCoCTableItem"/>
    <w:rsid w:val="00033738"/>
    <w:rPr>
      <w:rFonts w:ascii="Arial" w:hAnsi="Arial"/>
      <w:sz w:val="18"/>
      <w:szCs w:val="18"/>
    </w:rPr>
  </w:style>
  <w:style w:type="paragraph" w:customStyle="1" w:styleId="m4811450293110346576gmail-cohhiocheckboxitem">
    <w:name w:val="m_4811450293110346576gmail-cohhiocheckboxitem"/>
    <w:basedOn w:val="Normal"/>
    <w:link w:val="m4811450293110346576gmail-cohhiocheckboxitemChar"/>
    <w:rsid w:val="00961ED3"/>
    <w:pPr>
      <w:spacing w:before="100" w:beforeAutospacing="1" w:after="100" w:afterAutospacing="1"/>
    </w:pPr>
    <w:rPr>
      <w:rFonts w:ascii="Times New Roman" w:hAnsi="Times New Roman"/>
    </w:rPr>
  </w:style>
  <w:style w:type="character" w:customStyle="1" w:styleId="OhioBoSCoCTableHeaderChar">
    <w:name w:val="Ohio BoSCoC Table Header Char"/>
    <w:basedOn w:val="DefaultParagraphFont"/>
    <w:link w:val="OhioBoSCoCTableHeader"/>
    <w:rsid w:val="00033738"/>
    <w:rPr>
      <w:rFonts w:ascii="Arial" w:hAnsi="Arial"/>
      <w:b/>
      <w:sz w:val="18"/>
      <w:szCs w:val="18"/>
    </w:rPr>
  </w:style>
  <w:style w:type="paragraph" w:customStyle="1" w:styleId="OhioBoSCoCCheckboxList">
    <w:name w:val="Ohio BoSCoC Checkbox List"/>
    <w:basedOn w:val="m4811450293110346576gmail-cohhiocheckboxitem"/>
    <w:link w:val="OhioBoSCoCCheckboxListChar"/>
    <w:qFormat/>
    <w:rsid w:val="00794E1B"/>
    <w:pPr>
      <w:shd w:val="clear" w:color="auto" w:fill="FFFFFF"/>
      <w:tabs>
        <w:tab w:val="num" w:pos="720"/>
      </w:tabs>
      <w:spacing w:before="40" w:beforeAutospacing="0" w:after="40" w:afterAutospacing="0"/>
      <w:ind w:left="720" w:hanging="720"/>
    </w:pPr>
    <w:rPr>
      <w:rFonts w:ascii="Arial" w:hAnsi="Arial" w:cs="Arial"/>
      <w:color w:val="222222"/>
      <w:szCs w:val="20"/>
    </w:rPr>
  </w:style>
  <w:style w:type="paragraph" w:customStyle="1" w:styleId="OhioBoSCoCBoldBulletList">
    <w:name w:val="Ohio BoSCoC Bold Bullet List"/>
    <w:basedOn w:val="ListParagraph"/>
    <w:link w:val="OhioBoSCoCBoldBulletListChar"/>
    <w:qFormat/>
    <w:rsid w:val="00475C12"/>
    <w:pPr>
      <w:numPr>
        <w:numId w:val="0"/>
      </w:numPr>
      <w:tabs>
        <w:tab w:val="num" w:pos="720"/>
      </w:tabs>
      <w:ind w:left="720" w:hanging="720"/>
    </w:pPr>
    <w:rPr>
      <w:b/>
    </w:rPr>
  </w:style>
  <w:style w:type="character" w:customStyle="1" w:styleId="m4811450293110346576gmail-cohhiocheckboxitemChar">
    <w:name w:val="m_4811450293110346576gmail-cohhiocheckboxitem Char"/>
    <w:basedOn w:val="DefaultParagraphFont"/>
    <w:link w:val="m4811450293110346576gmail-cohhiocheckboxitem"/>
    <w:rsid w:val="00E330B6"/>
    <w:rPr>
      <w:rFonts w:ascii="Times New Roman" w:eastAsia="Times New Roman" w:hAnsi="Times New Roman" w:cs="Times New Roman"/>
      <w:sz w:val="24"/>
      <w:szCs w:val="24"/>
    </w:rPr>
  </w:style>
  <w:style w:type="character" w:customStyle="1" w:styleId="OhioBoSCoCCheckboxListChar">
    <w:name w:val="Ohio BoSCoC Checkbox List Char"/>
    <w:basedOn w:val="m4811450293110346576gmail-cohhiocheckboxitemChar"/>
    <w:link w:val="OhioBoSCoCCheckboxList"/>
    <w:rsid w:val="00794E1B"/>
    <w:rPr>
      <w:rFonts w:ascii="Times New Roman" w:eastAsia="Times New Roman" w:hAnsi="Times New Roman" w:cs="Times New Roman"/>
      <w:color w:val="222222"/>
      <w:sz w:val="24"/>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B42CCB"/>
    <w:rPr>
      <w:rFonts w:ascii="Arial" w:eastAsia="Times New Roman" w:hAnsi="Arial" w:cs="Arial"/>
      <w:w w:val="105"/>
      <w:sz w:val="20"/>
      <w:szCs w:val="24"/>
    </w:rPr>
  </w:style>
  <w:style w:type="character" w:customStyle="1" w:styleId="OhioBoSCoCBoldBulletListChar">
    <w:name w:val="Ohio BoSCoC Bold Bullet List Char"/>
    <w:basedOn w:val="ListParagraphChar"/>
    <w:link w:val="OhioBoSCoCBoldBulletList"/>
    <w:rsid w:val="00475C12"/>
    <w:rPr>
      <w:rFonts w:ascii="Arial" w:eastAsia="Times New Roman" w:hAnsi="Arial" w:cs="Arial"/>
      <w:b/>
      <w:w w:val="105"/>
      <w:sz w:val="20"/>
      <w:szCs w:val="24"/>
    </w:rPr>
  </w:style>
  <w:style w:type="paragraph" w:customStyle="1" w:styleId="OhioBoSCoCOutlilne">
    <w:name w:val="Ohio BoSCoC Outlilne"/>
    <w:basedOn w:val="ListNumber"/>
    <w:next w:val="List"/>
    <w:link w:val="OhioBoSCoCOutlilneChar"/>
    <w:autoRedefine/>
    <w:qFormat/>
    <w:rsid w:val="005B1641"/>
    <w:pPr>
      <w:spacing w:before="40" w:after="40"/>
    </w:pPr>
    <w:rPr>
      <w:rFonts w:cs="Arial"/>
    </w:rPr>
  </w:style>
  <w:style w:type="character" w:customStyle="1" w:styleId="OhioBoSCoCOutlilneChar">
    <w:name w:val="Ohio BoSCoC Outlilne Char"/>
    <w:basedOn w:val="OhioBoSCoCBoldBulletListChar"/>
    <w:link w:val="OhioBoSCoCOutlilne"/>
    <w:rsid w:val="005B1641"/>
    <w:rPr>
      <w:rFonts w:ascii="Arial" w:eastAsia="Times New Roman" w:hAnsi="Arial" w:cs="Arial"/>
      <w:b w:val="0"/>
      <w:w w:val="105"/>
      <w:sz w:val="20"/>
      <w:szCs w:val="24"/>
    </w:rPr>
  </w:style>
  <w:style w:type="character" w:styleId="Hyperlink">
    <w:name w:val="Hyperlink"/>
    <w:aliases w:val="Ohio BoSCoC Hyperlink"/>
    <w:basedOn w:val="DefaultParagraphFont"/>
    <w:unhideWhenUsed/>
    <w:rsid w:val="00CB4F8D"/>
    <w:rPr>
      <w:rFonts w:ascii="Arial" w:hAnsi="Arial"/>
      <w:color w:val="0070C0"/>
      <w:sz w:val="20"/>
      <w:u w:val="single"/>
    </w:rPr>
  </w:style>
  <w:style w:type="character" w:styleId="PageNumber">
    <w:name w:val="page number"/>
    <w:basedOn w:val="DefaultParagraphFont"/>
    <w:uiPriority w:val="99"/>
    <w:semiHidden/>
    <w:unhideWhenUsed/>
    <w:rsid w:val="00122098"/>
  </w:style>
  <w:style w:type="paragraph" w:styleId="ListBullet">
    <w:name w:val="List Bullet"/>
    <w:basedOn w:val="Normal"/>
    <w:uiPriority w:val="99"/>
    <w:semiHidden/>
    <w:unhideWhenUsed/>
    <w:rsid w:val="005D62BE"/>
    <w:pPr>
      <w:tabs>
        <w:tab w:val="num" w:pos="720"/>
      </w:tabs>
      <w:ind w:left="720" w:hanging="720"/>
      <w:contextualSpacing/>
    </w:pPr>
  </w:style>
  <w:style w:type="paragraph" w:styleId="ListNumber">
    <w:name w:val="List Number"/>
    <w:basedOn w:val="Normal"/>
    <w:uiPriority w:val="99"/>
    <w:semiHidden/>
    <w:unhideWhenUsed/>
    <w:rsid w:val="005D62BE"/>
    <w:pPr>
      <w:tabs>
        <w:tab w:val="num" w:pos="720"/>
      </w:tabs>
      <w:ind w:left="720" w:hanging="720"/>
      <w:contextualSpacing/>
    </w:pPr>
  </w:style>
  <w:style w:type="paragraph" w:styleId="List">
    <w:name w:val="List"/>
    <w:basedOn w:val="Normal"/>
    <w:uiPriority w:val="99"/>
    <w:semiHidden/>
    <w:unhideWhenUsed/>
    <w:rsid w:val="005D62BE"/>
    <w:pPr>
      <w:ind w:left="360" w:hanging="360"/>
      <w:contextualSpacing/>
    </w:pPr>
  </w:style>
  <w:style w:type="paragraph" w:customStyle="1" w:styleId="OhioBoSCoCBullet">
    <w:name w:val="Ohio BoSCoC Bullet"/>
    <w:basedOn w:val="OhioBoSCoCCheckboxList"/>
    <w:next w:val="ListParagraph"/>
    <w:autoRedefine/>
    <w:qFormat/>
    <w:rsid w:val="0065743A"/>
    <w:pPr>
      <w:spacing w:after="240"/>
      <w:contextualSpacing/>
    </w:pPr>
  </w:style>
  <w:style w:type="paragraph" w:styleId="ListBullet2">
    <w:name w:val="List Bullet 2"/>
    <w:basedOn w:val="Normal"/>
    <w:uiPriority w:val="99"/>
    <w:semiHidden/>
    <w:unhideWhenUsed/>
    <w:rsid w:val="00F27B9F"/>
    <w:pPr>
      <w:tabs>
        <w:tab w:val="num" w:pos="720"/>
      </w:tabs>
      <w:ind w:left="720" w:hanging="720"/>
      <w:contextualSpacing/>
    </w:pPr>
  </w:style>
  <w:style w:type="numbering" w:customStyle="1" w:styleId="OhioBoSCoCListStyle">
    <w:name w:val="Ohio BoSCoC List Style"/>
    <w:uiPriority w:val="99"/>
    <w:rsid w:val="00300A45"/>
  </w:style>
  <w:style w:type="table" w:customStyle="1" w:styleId="OhioBoSCoCTable">
    <w:name w:val="Ohio BoSCoC Table"/>
    <w:basedOn w:val="TableNormal"/>
    <w:uiPriority w:val="99"/>
    <w:rsid w:val="00794E1B"/>
    <w:pPr>
      <w:spacing w:after="0"/>
    </w:pPr>
    <w:tblPr/>
  </w:style>
  <w:style w:type="character" w:styleId="UnresolvedMention">
    <w:name w:val="Unresolved Mention"/>
    <w:basedOn w:val="DefaultParagraphFont"/>
    <w:uiPriority w:val="99"/>
    <w:semiHidden/>
    <w:unhideWhenUsed/>
    <w:rsid w:val="00056FD9"/>
    <w:rPr>
      <w:color w:val="605E5C"/>
      <w:shd w:val="clear" w:color="auto" w:fill="E1DFDD"/>
    </w:rPr>
  </w:style>
  <w:style w:type="table" w:customStyle="1" w:styleId="a">
    <w:basedOn w:val="TableNormal"/>
    <w:pPr>
      <w:spacing w:after="0"/>
    </w:pPr>
    <w:tblPr>
      <w:tblStyleRowBandSize w:val="1"/>
      <w:tblStyleColBandSize w:val="1"/>
      <w:tblCellMar>
        <w:top w:w="29" w:type="dxa"/>
        <w:left w:w="29" w:type="dxa"/>
        <w:bottom w:w="29" w:type="dxa"/>
        <w:right w:w="29" w:type="dxa"/>
      </w:tblCellMar>
    </w:tblPr>
  </w:style>
  <w:style w:type="table" w:styleId="GridTable1Light-Accent1">
    <w:name w:val="Grid Table 1 Light Accent 1"/>
    <w:basedOn w:val="TableNormal"/>
    <w:uiPriority w:val="46"/>
    <w:rsid w:val="00ED6E9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555DA"/>
    <w:rPr>
      <w:color w:val="800080" w:themeColor="followedHyperlink"/>
      <w:u w:val="single"/>
    </w:rPr>
  </w:style>
  <w:style w:type="character" w:styleId="CommentReference">
    <w:name w:val="annotation reference"/>
    <w:basedOn w:val="DefaultParagraphFont"/>
    <w:uiPriority w:val="99"/>
    <w:semiHidden/>
    <w:unhideWhenUsed/>
    <w:rsid w:val="00AE3B72"/>
    <w:rPr>
      <w:sz w:val="16"/>
      <w:szCs w:val="16"/>
    </w:rPr>
  </w:style>
  <w:style w:type="paragraph" w:styleId="CommentText">
    <w:name w:val="annotation text"/>
    <w:basedOn w:val="Normal"/>
    <w:link w:val="CommentTextChar"/>
    <w:uiPriority w:val="99"/>
    <w:semiHidden/>
    <w:unhideWhenUsed/>
    <w:rsid w:val="00AE3B72"/>
    <w:rPr>
      <w:sz w:val="20"/>
      <w:szCs w:val="20"/>
    </w:rPr>
  </w:style>
  <w:style w:type="character" w:customStyle="1" w:styleId="CommentTextChar">
    <w:name w:val="Comment Text Char"/>
    <w:basedOn w:val="DefaultParagraphFont"/>
    <w:link w:val="CommentText"/>
    <w:uiPriority w:val="99"/>
    <w:semiHidden/>
    <w:rsid w:val="00AE3B7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3B72"/>
    <w:rPr>
      <w:b/>
      <w:bCs/>
    </w:rPr>
  </w:style>
  <w:style w:type="character" w:customStyle="1" w:styleId="CommentSubjectChar">
    <w:name w:val="Comment Subject Char"/>
    <w:basedOn w:val="CommentTextChar"/>
    <w:link w:val="CommentSubject"/>
    <w:uiPriority w:val="99"/>
    <w:semiHidden/>
    <w:rsid w:val="00AE3B72"/>
    <w:rPr>
      <w:rFonts w:eastAsia="Times New Roman" w:cs="Times New Roman"/>
      <w:b/>
      <w:bCs/>
      <w:sz w:val="20"/>
      <w:szCs w:val="20"/>
    </w:rPr>
  </w:style>
  <w:style w:type="paragraph" w:styleId="Revision">
    <w:name w:val="Revision"/>
    <w:hidden/>
    <w:uiPriority w:val="99"/>
    <w:semiHidden/>
    <w:rsid w:val="00D11092"/>
    <w:pPr>
      <w:spacing w:before="0" w:after="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781909">
      <w:bodyDiv w:val="1"/>
      <w:marLeft w:val="0"/>
      <w:marRight w:val="0"/>
      <w:marTop w:val="0"/>
      <w:marBottom w:val="0"/>
      <w:divBdr>
        <w:top w:val="none" w:sz="0" w:space="0" w:color="auto"/>
        <w:left w:val="none" w:sz="0" w:space="0" w:color="auto"/>
        <w:bottom w:val="none" w:sz="0" w:space="0" w:color="auto"/>
        <w:right w:val="none" w:sz="0" w:space="0" w:color="auto"/>
      </w:divBdr>
    </w:div>
    <w:div w:id="1226575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et.clarityhs.help/hc/en-us/articles/1500000719402-Supported-Web-Browsers-for-Accessing-Clarity-Human-Services" TargetMode="External"/><Relationship Id="rId13" Type="http://schemas.openxmlformats.org/officeDocument/2006/relationships/hyperlink" Target="https://get.clarityhs.help/hc/en-us/articles/115013295968--HUDX-227-Annual-Performance-Repor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t.clarityhs.help/hc/en-us/articles/115000463848-How-Do-I-Create-Client-Not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mis@cohhi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et.clarityhs.help/hc/en-us/categories/115000086148-Getting-Start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mis@cohhio.org" TargetMode="External"/><Relationship Id="rId14" Type="http://schemas.openxmlformats.org/officeDocument/2006/relationships/hyperlink" Target="https://get.clarityhs.help/hc/en-us/articles/115013295968--HUDX-227-Annual-Performance-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QaNkudXigq7VnlqOIOsbeWLWXQ==">AMUW2mXKt5U7/lm0wvxYM79UYKbBTy9vkfD5fOb8e+VmPTzNdvcFpvRaSz0AYH4K0XWrbN01+/lc9/7NC4yOZHpG/eCEtAt4+2fzHSdXiXfo0hHsNSahE6k=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Hoffman</dc:creator>
  <cp:lastModifiedBy>Erica Mulryan</cp:lastModifiedBy>
  <cp:revision>8</cp:revision>
  <dcterms:created xsi:type="dcterms:W3CDTF">2021-08-26T18:29:00Z</dcterms:created>
  <dcterms:modified xsi:type="dcterms:W3CDTF">2021-09-08T14:44:00Z</dcterms:modified>
</cp:coreProperties>
</file>