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DF86" w14:textId="5A0DD1FC" w:rsidR="003204E5" w:rsidRPr="00CD142E" w:rsidRDefault="008C5109" w:rsidP="003204E5">
      <w:pPr>
        <w:jc w:val="center"/>
        <w:rPr>
          <w:rFonts w:ascii="Arial" w:hAnsi="Arial"/>
          <w:b/>
        </w:rPr>
      </w:pPr>
      <w:r>
        <w:rPr>
          <w:rFonts w:ascii="Arial" w:hAnsi="Arial"/>
          <w:b/>
        </w:rPr>
        <w:t>OHIO BALANCE OF STATE CONTINUUM OF CARE</w:t>
      </w:r>
    </w:p>
    <w:p w14:paraId="79BACF93" w14:textId="2D491F24" w:rsidR="003204E5" w:rsidRPr="00CD142E" w:rsidRDefault="005D1253" w:rsidP="003204E5">
      <w:pPr>
        <w:jc w:val="center"/>
        <w:rPr>
          <w:rFonts w:ascii="Arial" w:hAnsi="Arial"/>
          <w:b/>
        </w:rPr>
      </w:pPr>
      <w:r>
        <w:rPr>
          <w:rFonts w:ascii="Arial" w:hAnsi="Arial"/>
          <w:b/>
        </w:rPr>
        <w:t>CoC Board</w:t>
      </w:r>
      <w:r w:rsidR="003204E5" w:rsidRPr="00CD142E">
        <w:rPr>
          <w:rFonts w:ascii="Arial" w:hAnsi="Arial"/>
          <w:b/>
        </w:rPr>
        <w:t xml:space="preserve"> Meeting</w:t>
      </w:r>
    </w:p>
    <w:p w14:paraId="0C5A84FC" w14:textId="77777777" w:rsidR="00AD5CF3" w:rsidRDefault="00AD5CF3" w:rsidP="00396998">
      <w:pPr>
        <w:jc w:val="center"/>
        <w:rPr>
          <w:rFonts w:ascii="Arial" w:hAnsi="Arial"/>
          <w:b/>
        </w:rPr>
      </w:pPr>
    </w:p>
    <w:p w14:paraId="67A06FF5" w14:textId="77777777" w:rsidR="003204E5" w:rsidRPr="00CD142E" w:rsidRDefault="003204E5" w:rsidP="003204E5">
      <w:pPr>
        <w:jc w:val="center"/>
        <w:rPr>
          <w:rFonts w:ascii="Arial" w:hAnsi="Arial"/>
          <w:b/>
        </w:rPr>
      </w:pPr>
    </w:p>
    <w:p w14:paraId="7D1BA637" w14:textId="200DF93F" w:rsidR="00E24C55" w:rsidRPr="00662108" w:rsidRDefault="00AD5CF3" w:rsidP="00AD5CF3">
      <w:pPr>
        <w:rPr>
          <w:rFonts w:ascii="Arial" w:hAnsi="Arial"/>
          <w:b/>
          <w:u w:val="single"/>
        </w:rPr>
      </w:pPr>
      <w:r>
        <w:rPr>
          <w:rFonts w:ascii="Arial" w:hAnsi="Arial"/>
          <w:b/>
          <w:u w:val="single"/>
        </w:rPr>
        <w:t xml:space="preserve">MEETING </w:t>
      </w:r>
      <w:r w:rsidR="008C5109">
        <w:rPr>
          <w:rFonts w:ascii="Arial" w:hAnsi="Arial"/>
          <w:b/>
          <w:u w:val="single"/>
        </w:rPr>
        <w:t>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6E19E9D9" w14:textId="77777777" w:rsidR="00AD5CF3" w:rsidRDefault="00AD5CF3" w:rsidP="000463E5">
      <w:pPr>
        <w:tabs>
          <w:tab w:val="left" w:pos="5712"/>
        </w:tabs>
        <w:rPr>
          <w:rFonts w:ascii="Arial" w:hAnsi="Arial"/>
          <w:b/>
        </w:rPr>
      </w:pPr>
    </w:p>
    <w:p w14:paraId="185002C1" w14:textId="02FD3FFB"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AD0E5A">
        <w:rPr>
          <w:rFonts w:ascii="Arial" w:hAnsi="Arial"/>
          <w:sz w:val="20"/>
          <w:szCs w:val="20"/>
        </w:rPr>
        <w:t>Monday, August 13</w:t>
      </w:r>
      <w:r w:rsidR="003C2A80">
        <w:rPr>
          <w:rFonts w:ascii="Arial" w:hAnsi="Arial"/>
          <w:sz w:val="20"/>
          <w:szCs w:val="20"/>
        </w:rPr>
        <w:t>, 2018</w:t>
      </w:r>
    </w:p>
    <w:p w14:paraId="50865E89" w14:textId="3ED01AD3"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5B2435">
        <w:rPr>
          <w:rFonts w:ascii="Arial" w:hAnsi="Arial"/>
          <w:sz w:val="20"/>
          <w:szCs w:val="20"/>
        </w:rPr>
        <w:t>10:00am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2F16D20F" w14:textId="128855BE" w:rsidR="00A61BC2" w:rsidRDefault="00A61BC2" w:rsidP="008C5109">
      <w:pPr>
        <w:rPr>
          <w:rFonts w:ascii="Arial" w:hAnsi="Arial"/>
          <w:sz w:val="20"/>
          <w:szCs w:val="20"/>
        </w:rPr>
      </w:pPr>
      <w:r>
        <w:rPr>
          <w:rFonts w:ascii="Arial" w:hAnsi="Arial"/>
          <w:b/>
          <w:sz w:val="20"/>
          <w:szCs w:val="20"/>
        </w:rPr>
        <w:t xml:space="preserve">Attending: </w:t>
      </w:r>
      <w:r>
        <w:rPr>
          <w:rFonts w:ascii="Arial" w:hAnsi="Arial"/>
          <w:b/>
          <w:sz w:val="20"/>
          <w:szCs w:val="20"/>
        </w:rPr>
        <w:tab/>
      </w:r>
      <w:r w:rsidR="00D13D7C" w:rsidRPr="00D13D7C">
        <w:rPr>
          <w:rFonts w:ascii="Arial" w:hAnsi="Arial"/>
          <w:sz w:val="20"/>
          <w:szCs w:val="20"/>
        </w:rPr>
        <w:t>Angie F, Rgion 1</w:t>
      </w:r>
      <w:r w:rsidR="00340A06">
        <w:rPr>
          <w:rFonts w:ascii="Arial" w:hAnsi="Arial"/>
          <w:sz w:val="20"/>
          <w:szCs w:val="20"/>
        </w:rPr>
        <w:t xml:space="preserve">; Bambi, Region 16; Beth Long, OCCH; Chuck; CJ; Dawn, Rgion 8; Fred Betrry, Deb T; Katherine, Region 10; Sarah Masek; Scott  G; Tammy Weaver, Regino 5; Heather Hall; Katie K.; Holly Cundiff; </w:t>
      </w:r>
    </w:p>
    <w:p w14:paraId="58AADF09" w14:textId="77777777" w:rsidR="00837162" w:rsidRDefault="00837162" w:rsidP="008C5109">
      <w:pPr>
        <w:rPr>
          <w:rFonts w:ascii="Arial" w:hAnsi="Arial"/>
          <w:sz w:val="20"/>
          <w:szCs w:val="20"/>
        </w:rPr>
      </w:pPr>
    </w:p>
    <w:tbl>
      <w:tblPr>
        <w:tblStyle w:val="TableGrid"/>
        <w:tblW w:w="0" w:type="auto"/>
        <w:tblLook w:val="04A0" w:firstRow="1" w:lastRow="0" w:firstColumn="1" w:lastColumn="0" w:noHBand="0" w:noVBand="1"/>
      </w:tblPr>
      <w:tblGrid>
        <w:gridCol w:w="1282"/>
        <w:gridCol w:w="1603"/>
        <w:gridCol w:w="1574"/>
        <w:gridCol w:w="1705"/>
        <w:gridCol w:w="1372"/>
        <w:gridCol w:w="1814"/>
      </w:tblGrid>
      <w:tr w:rsidR="00837162" w:rsidRPr="003B1F98" w14:paraId="1983F119" w14:textId="77777777" w:rsidTr="00BC7347">
        <w:tc>
          <w:tcPr>
            <w:tcW w:w="1282" w:type="dxa"/>
          </w:tcPr>
          <w:p w14:paraId="3329E43B"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w:t>
            </w:r>
          </w:p>
        </w:tc>
        <w:tc>
          <w:tcPr>
            <w:tcW w:w="1662" w:type="dxa"/>
          </w:tcPr>
          <w:p w14:paraId="69256DD1"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Angie Franklin</w:t>
            </w:r>
          </w:p>
        </w:tc>
        <w:tc>
          <w:tcPr>
            <w:tcW w:w="1574" w:type="dxa"/>
          </w:tcPr>
          <w:p w14:paraId="5BF2E89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7</w:t>
            </w:r>
          </w:p>
        </w:tc>
        <w:tc>
          <w:tcPr>
            <w:tcW w:w="1752" w:type="dxa"/>
          </w:tcPr>
          <w:p w14:paraId="10D1670F"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414" w:type="dxa"/>
          </w:tcPr>
          <w:p w14:paraId="4C6B7680"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13</w:t>
            </w:r>
          </w:p>
        </w:tc>
        <w:tc>
          <w:tcPr>
            <w:tcW w:w="1892" w:type="dxa"/>
          </w:tcPr>
          <w:p w14:paraId="51ADF45A"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Barb Holman</w:t>
            </w:r>
          </w:p>
        </w:tc>
      </w:tr>
      <w:tr w:rsidR="00837162" w:rsidRPr="003B1F98" w14:paraId="767DBCB3" w14:textId="77777777" w:rsidTr="00BC7347">
        <w:tc>
          <w:tcPr>
            <w:tcW w:w="1282" w:type="dxa"/>
          </w:tcPr>
          <w:p w14:paraId="75C4FBBC"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2</w:t>
            </w:r>
          </w:p>
        </w:tc>
        <w:tc>
          <w:tcPr>
            <w:tcW w:w="1662" w:type="dxa"/>
          </w:tcPr>
          <w:p w14:paraId="20FA4938" w14:textId="24DE19EE"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3CD7AECE"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8</w:t>
            </w:r>
          </w:p>
        </w:tc>
        <w:tc>
          <w:tcPr>
            <w:tcW w:w="1752" w:type="dxa"/>
          </w:tcPr>
          <w:p w14:paraId="3959D6EC" w14:textId="7222DCD0"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Dawn Rauch</w:t>
            </w:r>
          </w:p>
        </w:tc>
        <w:tc>
          <w:tcPr>
            <w:tcW w:w="1414" w:type="dxa"/>
          </w:tcPr>
          <w:p w14:paraId="4696FD8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14</w:t>
            </w:r>
          </w:p>
        </w:tc>
        <w:tc>
          <w:tcPr>
            <w:tcW w:w="1892" w:type="dxa"/>
          </w:tcPr>
          <w:p w14:paraId="29888C5E"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absent</w:t>
            </w:r>
          </w:p>
        </w:tc>
      </w:tr>
      <w:tr w:rsidR="00837162" w:rsidRPr="003B1F98" w14:paraId="1018FEEF" w14:textId="77777777" w:rsidTr="00BC7347">
        <w:tc>
          <w:tcPr>
            <w:tcW w:w="1282" w:type="dxa"/>
          </w:tcPr>
          <w:p w14:paraId="50BD14F7"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3</w:t>
            </w:r>
          </w:p>
        </w:tc>
        <w:tc>
          <w:tcPr>
            <w:tcW w:w="1662" w:type="dxa"/>
          </w:tcPr>
          <w:p w14:paraId="00DA1DFA" w14:textId="3DFF34FC"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4ABCB5EB"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9</w:t>
            </w:r>
          </w:p>
        </w:tc>
        <w:tc>
          <w:tcPr>
            <w:tcW w:w="1752" w:type="dxa"/>
          </w:tcPr>
          <w:p w14:paraId="449BD7C2" w14:textId="77777777" w:rsidR="00837162" w:rsidRPr="00837162" w:rsidRDefault="00837162" w:rsidP="00BC7347">
            <w:pPr>
              <w:rPr>
                <w:rFonts w:ascii="Arial" w:hAnsi="Arial" w:cs="Arial"/>
                <w:sz w:val="20"/>
                <w:szCs w:val="20"/>
              </w:rPr>
            </w:pPr>
            <w:r w:rsidRPr="00837162">
              <w:rPr>
                <w:rFonts w:ascii="Arial" w:hAnsi="Arial" w:cs="Arial"/>
                <w:sz w:val="20"/>
                <w:szCs w:val="20"/>
              </w:rPr>
              <w:t>Deb Tegtmeyer</w:t>
            </w:r>
          </w:p>
        </w:tc>
        <w:tc>
          <w:tcPr>
            <w:tcW w:w="1414" w:type="dxa"/>
          </w:tcPr>
          <w:p w14:paraId="29B0F52F"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15</w:t>
            </w:r>
          </w:p>
        </w:tc>
        <w:tc>
          <w:tcPr>
            <w:tcW w:w="1892" w:type="dxa"/>
          </w:tcPr>
          <w:p w14:paraId="04BADF66" w14:textId="15884FDF" w:rsidR="00837162" w:rsidRPr="00837162" w:rsidRDefault="00837162" w:rsidP="00BC7347">
            <w:pPr>
              <w:rPr>
                <w:rFonts w:ascii="Arial" w:hAnsi="Arial" w:cs="Arial"/>
                <w:sz w:val="20"/>
                <w:szCs w:val="20"/>
              </w:rPr>
            </w:pPr>
            <w:r>
              <w:rPr>
                <w:rFonts w:ascii="Arial" w:hAnsi="Arial" w:cs="Arial"/>
                <w:color w:val="000000" w:themeColor="text1"/>
                <w:sz w:val="20"/>
                <w:szCs w:val="20"/>
              </w:rPr>
              <w:t>absent</w:t>
            </w:r>
          </w:p>
        </w:tc>
      </w:tr>
      <w:tr w:rsidR="00837162" w:rsidRPr="003B1F98" w14:paraId="165AB42E" w14:textId="77777777" w:rsidTr="00BC7347">
        <w:trPr>
          <w:trHeight w:val="279"/>
        </w:trPr>
        <w:tc>
          <w:tcPr>
            <w:tcW w:w="1282" w:type="dxa"/>
          </w:tcPr>
          <w:p w14:paraId="29F8D71D"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4</w:t>
            </w:r>
          </w:p>
        </w:tc>
        <w:tc>
          <w:tcPr>
            <w:tcW w:w="1662" w:type="dxa"/>
          </w:tcPr>
          <w:p w14:paraId="4A614788" w14:textId="639338FF" w:rsidR="00837162" w:rsidRPr="00837162" w:rsidRDefault="00837162" w:rsidP="00BC7347">
            <w:pPr>
              <w:rPr>
                <w:rFonts w:ascii="Arial" w:hAnsi="Arial" w:cs="Arial"/>
                <w:sz w:val="20"/>
                <w:szCs w:val="20"/>
              </w:rPr>
            </w:pPr>
            <w:r>
              <w:rPr>
                <w:rFonts w:ascii="Arial" w:hAnsi="Arial" w:cs="Arial"/>
                <w:color w:val="000000" w:themeColor="text1"/>
                <w:sz w:val="20"/>
                <w:szCs w:val="20"/>
              </w:rPr>
              <w:t>absent</w:t>
            </w:r>
          </w:p>
        </w:tc>
        <w:tc>
          <w:tcPr>
            <w:tcW w:w="1574" w:type="dxa"/>
          </w:tcPr>
          <w:p w14:paraId="1101F7A3"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10</w:t>
            </w:r>
          </w:p>
        </w:tc>
        <w:tc>
          <w:tcPr>
            <w:tcW w:w="1752" w:type="dxa"/>
          </w:tcPr>
          <w:p w14:paraId="1385E9C8" w14:textId="77777777" w:rsidR="00837162" w:rsidRPr="00837162" w:rsidRDefault="00837162" w:rsidP="00BC7347">
            <w:pPr>
              <w:rPr>
                <w:rFonts w:ascii="Arial" w:hAnsi="Arial" w:cs="Arial"/>
                <w:sz w:val="20"/>
                <w:szCs w:val="20"/>
              </w:rPr>
            </w:pPr>
            <w:r w:rsidRPr="00837162">
              <w:rPr>
                <w:rFonts w:ascii="Arial" w:hAnsi="Arial" w:cs="Arial"/>
                <w:color w:val="000000" w:themeColor="text1"/>
                <w:sz w:val="20"/>
                <w:szCs w:val="20"/>
              </w:rPr>
              <w:t>Katherine Weathers</w:t>
            </w:r>
          </w:p>
        </w:tc>
        <w:tc>
          <w:tcPr>
            <w:tcW w:w="1414" w:type="dxa"/>
          </w:tcPr>
          <w:p w14:paraId="13664EAA"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16</w:t>
            </w:r>
          </w:p>
        </w:tc>
        <w:tc>
          <w:tcPr>
            <w:tcW w:w="1892" w:type="dxa"/>
          </w:tcPr>
          <w:p w14:paraId="56E47B4A"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Bambi Baughn</w:t>
            </w:r>
          </w:p>
        </w:tc>
      </w:tr>
      <w:tr w:rsidR="00837162" w:rsidRPr="003B1F98" w14:paraId="2FE0C697" w14:textId="77777777" w:rsidTr="00BC7347">
        <w:tc>
          <w:tcPr>
            <w:tcW w:w="1282" w:type="dxa"/>
          </w:tcPr>
          <w:p w14:paraId="30BF0A93"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5</w:t>
            </w:r>
          </w:p>
        </w:tc>
        <w:tc>
          <w:tcPr>
            <w:tcW w:w="1662" w:type="dxa"/>
          </w:tcPr>
          <w:p w14:paraId="2C057648"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Tammy Weaver</w:t>
            </w:r>
          </w:p>
        </w:tc>
        <w:tc>
          <w:tcPr>
            <w:tcW w:w="1574" w:type="dxa"/>
          </w:tcPr>
          <w:p w14:paraId="68976991"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11</w:t>
            </w:r>
          </w:p>
        </w:tc>
        <w:tc>
          <w:tcPr>
            <w:tcW w:w="1752" w:type="dxa"/>
          </w:tcPr>
          <w:p w14:paraId="13B9CF79"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Chuck Bulick</w:t>
            </w:r>
          </w:p>
        </w:tc>
        <w:tc>
          <w:tcPr>
            <w:tcW w:w="1414" w:type="dxa"/>
          </w:tcPr>
          <w:p w14:paraId="5A5908BB"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17</w:t>
            </w:r>
          </w:p>
        </w:tc>
        <w:tc>
          <w:tcPr>
            <w:tcW w:w="1892" w:type="dxa"/>
          </w:tcPr>
          <w:p w14:paraId="24B0DB7B" w14:textId="5070C5C7"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Heather Hall</w:t>
            </w:r>
          </w:p>
        </w:tc>
      </w:tr>
      <w:tr w:rsidR="00837162" w:rsidRPr="003B1F98" w14:paraId="13EC9713" w14:textId="77777777" w:rsidTr="00BC7347">
        <w:tc>
          <w:tcPr>
            <w:tcW w:w="1282" w:type="dxa"/>
          </w:tcPr>
          <w:p w14:paraId="5D2F5E9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6</w:t>
            </w:r>
          </w:p>
        </w:tc>
        <w:tc>
          <w:tcPr>
            <w:tcW w:w="1662" w:type="dxa"/>
          </w:tcPr>
          <w:p w14:paraId="7D4C37CB" w14:textId="39D263C9"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7005536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Region 12</w:t>
            </w:r>
          </w:p>
        </w:tc>
        <w:tc>
          <w:tcPr>
            <w:tcW w:w="1752" w:type="dxa"/>
          </w:tcPr>
          <w:p w14:paraId="175D0BDB" w14:textId="05CA32E2"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414" w:type="dxa"/>
          </w:tcPr>
          <w:p w14:paraId="679C9305" w14:textId="77777777" w:rsidR="00837162" w:rsidRPr="00837162" w:rsidRDefault="00837162" w:rsidP="00BC7347">
            <w:pPr>
              <w:tabs>
                <w:tab w:val="left" w:pos="5712"/>
              </w:tabs>
              <w:rPr>
                <w:rFonts w:ascii="Arial" w:hAnsi="Arial" w:cs="Arial"/>
                <w:b/>
                <w:color w:val="FF0000"/>
                <w:sz w:val="20"/>
                <w:szCs w:val="20"/>
              </w:rPr>
            </w:pPr>
          </w:p>
        </w:tc>
        <w:tc>
          <w:tcPr>
            <w:tcW w:w="1892" w:type="dxa"/>
          </w:tcPr>
          <w:p w14:paraId="7CC10513" w14:textId="77777777" w:rsidR="00837162" w:rsidRPr="00837162" w:rsidRDefault="00837162" w:rsidP="00BC7347">
            <w:pPr>
              <w:tabs>
                <w:tab w:val="left" w:pos="5712"/>
              </w:tabs>
              <w:rPr>
                <w:rFonts w:ascii="Arial" w:hAnsi="Arial" w:cs="Arial"/>
                <w:color w:val="FF0000"/>
                <w:sz w:val="20"/>
                <w:szCs w:val="20"/>
              </w:rPr>
            </w:pPr>
          </w:p>
        </w:tc>
      </w:tr>
      <w:tr w:rsidR="00837162" w:rsidRPr="003B1F98" w14:paraId="66DFA44E" w14:textId="77777777" w:rsidTr="00BC7347">
        <w:tc>
          <w:tcPr>
            <w:tcW w:w="1282" w:type="dxa"/>
          </w:tcPr>
          <w:p w14:paraId="766C8067"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 – Large VA</w:t>
            </w:r>
          </w:p>
        </w:tc>
        <w:tc>
          <w:tcPr>
            <w:tcW w:w="1662" w:type="dxa"/>
          </w:tcPr>
          <w:p w14:paraId="3B86DAB7" w14:textId="71A6F3AB" w:rsidR="00837162" w:rsidRPr="00837162" w:rsidRDefault="00837162" w:rsidP="00BC7347">
            <w:pPr>
              <w:tabs>
                <w:tab w:val="left" w:pos="5712"/>
              </w:tabs>
              <w:rPr>
                <w:rFonts w:ascii="Arial" w:hAnsi="Arial" w:cs="Arial"/>
                <w:sz w:val="20"/>
                <w:szCs w:val="20"/>
              </w:rPr>
            </w:pPr>
            <w:r>
              <w:rPr>
                <w:rFonts w:ascii="Arial" w:hAnsi="Arial" w:cs="Arial"/>
                <w:sz w:val="20"/>
                <w:szCs w:val="20"/>
              </w:rPr>
              <w:t>absent</w:t>
            </w:r>
          </w:p>
        </w:tc>
        <w:tc>
          <w:tcPr>
            <w:tcW w:w="1574" w:type="dxa"/>
          </w:tcPr>
          <w:p w14:paraId="3F817C8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 Youth Provider</w:t>
            </w:r>
          </w:p>
        </w:tc>
        <w:tc>
          <w:tcPr>
            <w:tcW w:w="1752" w:type="dxa"/>
          </w:tcPr>
          <w:p w14:paraId="6592AC37" w14:textId="05810B78"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414" w:type="dxa"/>
          </w:tcPr>
          <w:p w14:paraId="46E5B922"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 CSH</w:t>
            </w:r>
          </w:p>
        </w:tc>
        <w:tc>
          <w:tcPr>
            <w:tcW w:w="1892" w:type="dxa"/>
          </w:tcPr>
          <w:p w14:paraId="75FC308E" w14:textId="34CB2AE0"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Katie Kitchin</w:t>
            </w:r>
          </w:p>
        </w:tc>
      </w:tr>
      <w:tr w:rsidR="00837162" w:rsidRPr="003B1F98" w14:paraId="522AB71F" w14:textId="77777777" w:rsidTr="00BC7347">
        <w:tc>
          <w:tcPr>
            <w:tcW w:w="1282" w:type="dxa"/>
          </w:tcPr>
          <w:p w14:paraId="2CAF33C1"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 – Large DV</w:t>
            </w:r>
          </w:p>
        </w:tc>
        <w:tc>
          <w:tcPr>
            <w:tcW w:w="1662" w:type="dxa"/>
          </w:tcPr>
          <w:p w14:paraId="586150C6" w14:textId="7BED6909" w:rsidR="00837162" w:rsidRPr="00837162" w:rsidRDefault="00837162" w:rsidP="00BC7347">
            <w:pPr>
              <w:tabs>
                <w:tab w:val="left" w:pos="5712"/>
              </w:tabs>
              <w:rPr>
                <w:rFonts w:ascii="Arial" w:hAnsi="Arial" w:cs="Arial"/>
                <w:sz w:val="20"/>
                <w:szCs w:val="20"/>
              </w:rPr>
            </w:pPr>
            <w:r>
              <w:rPr>
                <w:rFonts w:ascii="Arial" w:hAnsi="Arial" w:cs="Arial"/>
                <w:sz w:val="20"/>
                <w:szCs w:val="20"/>
              </w:rPr>
              <w:t>Sarah Masek</w:t>
            </w:r>
          </w:p>
        </w:tc>
        <w:tc>
          <w:tcPr>
            <w:tcW w:w="1574" w:type="dxa"/>
          </w:tcPr>
          <w:p w14:paraId="286497B8"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 OHFA</w:t>
            </w:r>
          </w:p>
        </w:tc>
        <w:tc>
          <w:tcPr>
            <w:tcW w:w="1752" w:type="dxa"/>
          </w:tcPr>
          <w:p w14:paraId="361D34E0"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414" w:type="dxa"/>
          </w:tcPr>
          <w:p w14:paraId="198256B6"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 – Large OCCH</w:t>
            </w:r>
          </w:p>
        </w:tc>
        <w:tc>
          <w:tcPr>
            <w:tcW w:w="1892" w:type="dxa"/>
          </w:tcPr>
          <w:p w14:paraId="384535B8" w14:textId="279EBA0A"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Beth Long</w:t>
            </w:r>
          </w:p>
        </w:tc>
      </w:tr>
      <w:tr w:rsidR="00837162" w:rsidRPr="003B1F98" w14:paraId="13408A13" w14:textId="77777777" w:rsidTr="00BC7347">
        <w:tc>
          <w:tcPr>
            <w:tcW w:w="1282" w:type="dxa"/>
          </w:tcPr>
          <w:p w14:paraId="4BC013F3"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 Mental Health</w:t>
            </w:r>
          </w:p>
        </w:tc>
        <w:tc>
          <w:tcPr>
            <w:tcW w:w="1662" w:type="dxa"/>
          </w:tcPr>
          <w:p w14:paraId="22CA3C80" w14:textId="79867026"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437FD191" w14:textId="77777777" w:rsidR="00837162" w:rsidRPr="00837162" w:rsidRDefault="00837162" w:rsidP="00BC7347">
            <w:pPr>
              <w:tabs>
                <w:tab w:val="left" w:pos="5712"/>
              </w:tabs>
              <w:rPr>
                <w:rFonts w:ascii="Arial" w:hAnsi="Arial" w:cs="Arial"/>
                <w:sz w:val="20"/>
                <w:szCs w:val="20"/>
              </w:rPr>
            </w:pPr>
            <w:r w:rsidRPr="00837162">
              <w:rPr>
                <w:rFonts w:ascii="Arial" w:hAnsi="Arial" w:cs="Arial"/>
                <w:b/>
                <w:sz w:val="20"/>
                <w:szCs w:val="20"/>
              </w:rPr>
              <w:t>At-Large Housing Authority/PSH</w:t>
            </w:r>
          </w:p>
        </w:tc>
        <w:tc>
          <w:tcPr>
            <w:tcW w:w="1752" w:type="dxa"/>
          </w:tcPr>
          <w:p w14:paraId="19978411" w14:textId="22F05430" w:rsidR="00837162" w:rsidRPr="00837162" w:rsidRDefault="00837162" w:rsidP="00BC7347">
            <w:pPr>
              <w:tabs>
                <w:tab w:val="left" w:pos="5712"/>
              </w:tabs>
              <w:rPr>
                <w:rFonts w:ascii="Arial" w:hAnsi="Arial" w:cs="Arial"/>
                <w:sz w:val="20"/>
                <w:szCs w:val="20"/>
              </w:rPr>
            </w:pPr>
            <w:r>
              <w:rPr>
                <w:rFonts w:ascii="Arial" w:hAnsi="Arial" w:cs="Arial"/>
                <w:color w:val="000000" w:themeColor="text1"/>
                <w:sz w:val="20"/>
                <w:szCs w:val="20"/>
              </w:rPr>
              <w:t>absent</w:t>
            </w:r>
          </w:p>
        </w:tc>
        <w:tc>
          <w:tcPr>
            <w:tcW w:w="1414" w:type="dxa"/>
          </w:tcPr>
          <w:p w14:paraId="64B2323A"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 PSH</w:t>
            </w:r>
          </w:p>
        </w:tc>
        <w:tc>
          <w:tcPr>
            <w:tcW w:w="1892" w:type="dxa"/>
          </w:tcPr>
          <w:p w14:paraId="233DC1CD"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Fred Berry</w:t>
            </w:r>
          </w:p>
        </w:tc>
      </w:tr>
      <w:tr w:rsidR="00837162" w:rsidRPr="003B1F98" w14:paraId="2635D864" w14:textId="77777777" w:rsidTr="00BC7347">
        <w:trPr>
          <w:trHeight w:val="269"/>
        </w:trPr>
        <w:tc>
          <w:tcPr>
            <w:tcW w:w="1282" w:type="dxa"/>
          </w:tcPr>
          <w:p w14:paraId="2DFDC203"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w:t>
            </w:r>
          </w:p>
        </w:tc>
        <w:tc>
          <w:tcPr>
            <w:tcW w:w="1662" w:type="dxa"/>
          </w:tcPr>
          <w:p w14:paraId="7B08AF06"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C.J. Roberts</w:t>
            </w:r>
          </w:p>
        </w:tc>
        <w:tc>
          <w:tcPr>
            <w:tcW w:w="1574" w:type="dxa"/>
          </w:tcPr>
          <w:p w14:paraId="172F7364"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At-Large/MH Board</w:t>
            </w:r>
          </w:p>
        </w:tc>
        <w:tc>
          <w:tcPr>
            <w:tcW w:w="1752" w:type="dxa"/>
          </w:tcPr>
          <w:p w14:paraId="126A80B3" w14:textId="77777777" w:rsidR="00837162" w:rsidRPr="00837162" w:rsidRDefault="00837162" w:rsidP="00BC7347">
            <w:pPr>
              <w:tabs>
                <w:tab w:val="left" w:pos="5712"/>
              </w:tabs>
              <w:rPr>
                <w:rFonts w:ascii="Arial" w:hAnsi="Arial" w:cs="Arial"/>
                <w:sz w:val="20"/>
                <w:szCs w:val="20"/>
              </w:rPr>
            </w:pPr>
            <w:r w:rsidRPr="00837162">
              <w:rPr>
                <w:rFonts w:ascii="Arial" w:hAnsi="Arial" w:cs="Arial"/>
                <w:color w:val="000000" w:themeColor="text1"/>
                <w:sz w:val="20"/>
                <w:szCs w:val="20"/>
              </w:rPr>
              <w:t>Holly Cundiff</w:t>
            </w:r>
          </w:p>
        </w:tc>
        <w:tc>
          <w:tcPr>
            <w:tcW w:w="1414" w:type="dxa"/>
          </w:tcPr>
          <w:p w14:paraId="1AD7FD70" w14:textId="77777777" w:rsidR="00837162" w:rsidRPr="00837162" w:rsidRDefault="00837162" w:rsidP="00BC7347">
            <w:pPr>
              <w:tabs>
                <w:tab w:val="left" w:pos="5712"/>
              </w:tabs>
              <w:rPr>
                <w:rFonts w:ascii="Arial" w:hAnsi="Arial" w:cs="Arial"/>
                <w:b/>
                <w:sz w:val="20"/>
                <w:szCs w:val="20"/>
              </w:rPr>
            </w:pPr>
          </w:p>
        </w:tc>
        <w:tc>
          <w:tcPr>
            <w:tcW w:w="1892" w:type="dxa"/>
          </w:tcPr>
          <w:p w14:paraId="6B22842E" w14:textId="77777777" w:rsidR="00837162" w:rsidRPr="00837162" w:rsidRDefault="00837162" w:rsidP="00BC7347">
            <w:pPr>
              <w:tabs>
                <w:tab w:val="left" w:pos="5712"/>
              </w:tabs>
              <w:rPr>
                <w:rFonts w:ascii="Arial" w:hAnsi="Arial" w:cs="Arial"/>
                <w:sz w:val="20"/>
                <w:szCs w:val="20"/>
              </w:rPr>
            </w:pPr>
          </w:p>
        </w:tc>
      </w:tr>
      <w:tr w:rsidR="00837162" w:rsidRPr="003B1F98" w14:paraId="03517CF3" w14:textId="77777777" w:rsidTr="00BC7347">
        <w:tc>
          <w:tcPr>
            <w:tcW w:w="1282" w:type="dxa"/>
          </w:tcPr>
          <w:p w14:paraId="7ABB3B95"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 xml:space="preserve">ODSA </w:t>
            </w:r>
          </w:p>
        </w:tc>
        <w:tc>
          <w:tcPr>
            <w:tcW w:w="4988" w:type="dxa"/>
            <w:gridSpan w:val="3"/>
          </w:tcPr>
          <w:p w14:paraId="7BE9B95D"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Scott Gary</w:t>
            </w:r>
          </w:p>
        </w:tc>
        <w:tc>
          <w:tcPr>
            <w:tcW w:w="1414" w:type="dxa"/>
          </w:tcPr>
          <w:p w14:paraId="507916E6" w14:textId="77777777" w:rsidR="00837162" w:rsidRPr="00837162" w:rsidRDefault="00837162" w:rsidP="00BC7347">
            <w:pPr>
              <w:tabs>
                <w:tab w:val="left" w:pos="5712"/>
              </w:tabs>
              <w:rPr>
                <w:rFonts w:ascii="Arial" w:hAnsi="Arial" w:cs="Arial"/>
                <w:b/>
                <w:sz w:val="20"/>
                <w:szCs w:val="20"/>
              </w:rPr>
            </w:pPr>
          </w:p>
        </w:tc>
        <w:tc>
          <w:tcPr>
            <w:tcW w:w="1892" w:type="dxa"/>
          </w:tcPr>
          <w:p w14:paraId="507067F8" w14:textId="77777777" w:rsidR="00837162" w:rsidRPr="00837162" w:rsidRDefault="00837162" w:rsidP="00BC7347">
            <w:pPr>
              <w:tabs>
                <w:tab w:val="left" w:pos="5712"/>
              </w:tabs>
              <w:rPr>
                <w:rFonts w:ascii="Arial" w:hAnsi="Arial" w:cs="Arial"/>
                <w:sz w:val="20"/>
                <w:szCs w:val="20"/>
              </w:rPr>
            </w:pPr>
          </w:p>
        </w:tc>
      </w:tr>
      <w:tr w:rsidR="00837162" w:rsidRPr="003B1F98" w14:paraId="112ACB31" w14:textId="77777777" w:rsidTr="00BC7347">
        <w:tc>
          <w:tcPr>
            <w:tcW w:w="1282" w:type="dxa"/>
          </w:tcPr>
          <w:p w14:paraId="6833204F"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COHHIO</w:t>
            </w:r>
          </w:p>
        </w:tc>
        <w:tc>
          <w:tcPr>
            <w:tcW w:w="8294" w:type="dxa"/>
            <w:gridSpan w:val="5"/>
          </w:tcPr>
          <w:p w14:paraId="0C6B7316" w14:textId="77777777" w:rsidR="00837162" w:rsidRPr="00837162" w:rsidRDefault="00837162" w:rsidP="00BC7347">
            <w:pPr>
              <w:tabs>
                <w:tab w:val="left" w:pos="5712"/>
              </w:tabs>
              <w:rPr>
                <w:rFonts w:ascii="Arial" w:hAnsi="Arial" w:cs="Arial"/>
                <w:sz w:val="20"/>
                <w:szCs w:val="20"/>
              </w:rPr>
            </w:pPr>
            <w:r w:rsidRPr="00837162">
              <w:rPr>
                <w:rFonts w:ascii="Arial" w:hAnsi="Arial" w:cs="Arial"/>
                <w:sz w:val="20"/>
                <w:szCs w:val="20"/>
              </w:rPr>
              <w:t>Amanda Wilson</w:t>
            </w:r>
          </w:p>
        </w:tc>
      </w:tr>
      <w:tr w:rsidR="00837162" w:rsidRPr="003B1F98" w14:paraId="1BC098B9" w14:textId="77777777" w:rsidTr="00837162">
        <w:trPr>
          <w:trHeight w:val="77"/>
        </w:trPr>
        <w:tc>
          <w:tcPr>
            <w:tcW w:w="1282" w:type="dxa"/>
          </w:tcPr>
          <w:p w14:paraId="31C1D31F" w14:textId="77777777" w:rsidR="00837162" w:rsidRPr="00837162" w:rsidRDefault="00837162" w:rsidP="00BC7347">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294" w:type="dxa"/>
            <w:gridSpan w:val="5"/>
          </w:tcPr>
          <w:p w14:paraId="73CD0834" w14:textId="449EC903" w:rsidR="00837162" w:rsidRPr="00837162" w:rsidRDefault="00837162" w:rsidP="00BC7347">
            <w:pPr>
              <w:tabs>
                <w:tab w:val="left" w:pos="5712"/>
              </w:tabs>
              <w:rPr>
                <w:rFonts w:ascii="Arial" w:hAnsi="Arial" w:cs="Arial"/>
                <w:sz w:val="20"/>
                <w:szCs w:val="20"/>
              </w:rPr>
            </w:pPr>
            <w:r>
              <w:rPr>
                <w:rFonts w:ascii="Arial" w:hAnsi="Arial" w:cs="Arial"/>
                <w:sz w:val="20"/>
                <w:szCs w:val="20"/>
              </w:rPr>
              <w:t>Erica Mulryan,</w:t>
            </w:r>
            <w:r w:rsidRPr="00837162">
              <w:rPr>
                <w:rFonts w:ascii="Arial" w:hAnsi="Arial" w:cs="Arial"/>
                <w:sz w:val="20"/>
                <w:szCs w:val="20"/>
              </w:rPr>
              <w:t xml:space="preserve"> </w:t>
            </w:r>
            <w:r>
              <w:rPr>
                <w:rFonts w:ascii="Arial" w:hAnsi="Arial" w:cs="Arial"/>
                <w:sz w:val="20"/>
                <w:szCs w:val="20"/>
              </w:rPr>
              <w:t xml:space="preserve">Sandy Sechang, Hannah Basting/COHHIO; </w:t>
            </w:r>
            <w:r w:rsidRPr="00837162">
              <w:rPr>
                <w:rFonts w:ascii="Arial" w:hAnsi="Arial" w:cs="Arial"/>
                <w:sz w:val="20"/>
                <w:szCs w:val="20"/>
              </w:rPr>
              <w:t>Tracey Ballas/ODSA</w:t>
            </w:r>
          </w:p>
        </w:tc>
      </w:tr>
    </w:tbl>
    <w:p w14:paraId="2E3B4745" w14:textId="77777777" w:rsidR="00837162" w:rsidRPr="00A61BC2" w:rsidRDefault="00837162" w:rsidP="008C5109">
      <w:pPr>
        <w:rPr>
          <w:rFonts w:ascii="Arial" w:hAnsi="Arial"/>
          <w:b/>
          <w:sz w:val="20"/>
          <w:szCs w:val="20"/>
        </w:rPr>
      </w:pPr>
    </w:p>
    <w:p w14:paraId="1670162A" w14:textId="77777777" w:rsidR="00B4597B" w:rsidRDefault="00B4597B" w:rsidP="008C5109">
      <w:pPr>
        <w:rPr>
          <w:rFonts w:ascii="Arial" w:hAnsi="Arial"/>
          <w:b/>
          <w:u w:val="single"/>
        </w:rPr>
      </w:pPr>
    </w:p>
    <w:p w14:paraId="650F0533" w14:textId="77777777" w:rsidR="00B4597B" w:rsidRDefault="00B4597B" w:rsidP="008C5109">
      <w:pPr>
        <w:rPr>
          <w:rFonts w:ascii="Arial" w:hAnsi="Arial"/>
          <w:b/>
          <w:u w:val="single"/>
        </w:rPr>
      </w:pPr>
    </w:p>
    <w:p w14:paraId="650BFF5A" w14:textId="544A4ED8" w:rsidR="008C5109" w:rsidRPr="008C5109" w:rsidRDefault="008C5109" w:rsidP="008C5109">
      <w:pPr>
        <w:rPr>
          <w:rFonts w:ascii="Arial" w:hAnsi="Arial"/>
          <w:b/>
          <w:u w:val="single"/>
        </w:rPr>
      </w:pPr>
      <w:r>
        <w:rPr>
          <w:rFonts w:ascii="Arial" w:hAnsi="Arial"/>
          <w:b/>
          <w:u w:val="single"/>
        </w:rPr>
        <w:t>MEETING AGENDA</w:t>
      </w:r>
      <w:r w:rsidR="00243607">
        <w:rPr>
          <w:rFonts w:ascii="Arial" w:hAnsi="Arial"/>
          <w:b/>
          <w:u w:val="single"/>
        </w:rPr>
        <w:t>/NOTES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243607">
        <w:rPr>
          <w:rFonts w:ascii="Arial" w:hAnsi="Arial"/>
          <w:b/>
          <w:u w:val="single"/>
        </w:rPr>
        <w:tab/>
      </w:r>
      <w:bookmarkStart w:id="0" w:name="_GoBack"/>
      <w:bookmarkEnd w:id="0"/>
    </w:p>
    <w:p w14:paraId="343C30FA" w14:textId="5FD707A2" w:rsidR="00C10E7F" w:rsidRPr="008C2037" w:rsidRDefault="003204E5" w:rsidP="008C2037">
      <w:pPr>
        <w:tabs>
          <w:tab w:val="left" w:pos="5712"/>
        </w:tabs>
        <w:rPr>
          <w:rFonts w:ascii="Arial" w:hAnsi="Arial"/>
          <w:b/>
        </w:rPr>
      </w:pPr>
      <w:r w:rsidRPr="00CD142E">
        <w:rPr>
          <w:rFonts w:ascii="Arial" w:hAnsi="Arial"/>
          <w:b/>
        </w:rPr>
        <w:tab/>
      </w:r>
    </w:p>
    <w:p w14:paraId="3239A8AD" w14:textId="6BF130F4" w:rsidR="00460C43" w:rsidRPr="004231F4" w:rsidRDefault="004231F4" w:rsidP="004231F4">
      <w:pPr>
        <w:rPr>
          <w:rFonts w:ascii="Arial" w:hAnsi="Arial"/>
          <w:b/>
          <w:sz w:val="20"/>
          <w:szCs w:val="20"/>
        </w:rPr>
      </w:pPr>
      <w:r>
        <w:rPr>
          <w:rFonts w:ascii="Arial" w:hAnsi="Arial"/>
          <w:b/>
          <w:sz w:val="20"/>
          <w:szCs w:val="20"/>
        </w:rPr>
        <w:t>FY2018 CoC Competition</w:t>
      </w:r>
    </w:p>
    <w:p w14:paraId="627DA12F" w14:textId="1D3D0C15" w:rsidR="003C2A80" w:rsidRDefault="003C2A80" w:rsidP="004231F4">
      <w:pPr>
        <w:pStyle w:val="ListParagraph"/>
        <w:numPr>
          <w:ilvl w:val="0"/>
          <w:numId w:val="6"/>
        </w:numPr>
        <w:rPr>
          <w:rFonts w:ascii="Arial" w:hAnsi="Arial"/>
          <w:sz w:val="20"/>
          <w:szCs w:val="20"/>
        </w:rPr>
      </w:pPr>
      <w:r>
        <w:rPr>
          <w:rFonts w:ascii="Arial" w:hAnsi="Arial"/>
          <w:sz w:val="20"/>
          <w:szCs w:val="20"/>
        </w:rPr>
        <w:t>New Project Recommendations</w:t>
      </w:r>
    </w:p>
    <w:p w14:paraId="0C81CFCB" w14:textId="7ECF4EDB" w:rsidR="003C2A80" w:rsidRDefault="00AD0E5A" w:rsidP="004231F4">
      <w:pPr>
        <w:pStyle w:val="ListParagraph"/>
        <w:numPr>
          <w:ilvl w:val="1"/>
          <w:numId w:val="6"/>
        </w:numPr>
        <w:rPr>
          <w:rFonts w:ascii="Arial" w:hAnsi="Arial"/>
          <w:sz w:val="20"/>
          <w:szCs w:val="20"/>
        </w:rPr>
      </w:pPr>
      <w:r>
        <w:rPr>
          <w:rFonts w:ascii="Arial" w:hAnsi="Arial"/>
          <w:sz w:val="20"/>
          <w:szCs w:val="20"/>
        </w:rPr>
        <w:t xml:space="preserve">PH </w:t>
      </w:r>
      <w:r w:rsidR="003C2A80">
        <w:rPr>
          <w:rFonts w:ascii="Arial" w:hAnsi="Arial"/>
          <w:sz w:val="20"/>
          <w:szCs w:val="20"/>
        </w:rPr>
        <w:t>Bonus</w:t>
      </w:r>
      <w:r w:rsidR="00F07901">
        <w:rPr>
          <w:rFonts w:ascii="Arial" w:hAnsi="Arial"/>
          <w:sz w:val="20"/>
          <w:szCs w:val="20"/>
        </w:rPr>
        <w:t xml:space="preserve"> Funding and Proposals</w:t>
      </w:r>
    </w:p>
    <w:p w14:paraId="1A9254DB" w14:textId="2848C676" w:rsidR="00837162" w:rsidRDefault="00837162" w:rsidP="004231F4">
      <w:pPr>
        <w:pStyle w:val="ListParagraph"/>
        <w:numPr>
          <w:ilvl w:val="2"/>
          <w:numId w:val="6"/>
        </w:numPr>
        <w:rPr>
          <w:rFonts w:ascii="Arial" w:hAnsi="Arial"/>
          <w:sz w:val="20"/>
          <w:szCs w:val="20"/>
        </w:rPr>
      </w:pPr>
      <w:r>
        <w:rPr>
          <w:rFonts w:ascii="Arial" w:hAnsi="Arial"/>
          <w:sz w:val="20"/>
          <w:szCs w:val="20"/>
        </w:rPr>
        <w:t>Erica provided summary information about the proposals received. Five proposals total received, from 9 eligible regions</w:t>
      </w:r>
    </w:p>
    <w:p w14:paraId="747E31C8" w14:textId="78B533E4" w:rsidR="00837162" w:rsidRDefault="00837162" w:rsidP="004231F4">
      <w:pPr>
        <w:pStyle w:val="ListParagraph"/>
        <w:numPr>
          <w:ilvl w:val="2"/>
          <w:numId w:val="6"/>
        </w:numPr>
        <w:rPr>
          <w:rFonts w:ascii="Arial" w:hAnsi="Arial"/>
          <w:sz w:val="20"/>
          <w:szCs w:val="20"/>
        </w:rPr>
      </w:pPr>
      <w:r>
        <w:rPr>
          <w:rFonts w:ascii="Arial" w:hAnsi="Arial"/>
          <w:sz w:val="20"/>
          <w:szCs w:val="20"/>
        </w:rPr>
        <w:t>CoC staff reviewed all proposals and had no concerns about agency capacity or ability to manage the proposed projects, largely b/c all but one applicant is currently the HCRP Lead in their region</w:t>
      </w:r>
    </w:p>
    <w:p w14:paraId="0AF0C532" w14:textId="4C93A9AB" w:rsidR="006C0C53" w:rsidRDefault="006C0C53" w:rsidP="004231F4">
      <w:pPr>
        <w:pStyle w:val="ListParagraph"/>
        <w:numPr>
          <w:ilvl w:val="2"/>
          <w:numId w:val="6"/>
        </w:numPr>
        <w:rPr>
          <w:rFonts w:ascii="Arial" w:hAnsi="Arial"/>
          <w:sz w:val="20"/>
          <w:szCs w:val="20"/>
        </w:rPr>
      </w:pPr>
      <w:r>
        <w:rPr>
          <w:rFonts w:ascii="Arial" w:hAnsi="Arial"/>
          <w:sz w:val="20"/>
          <w:szCs w:val="20"/>
        </w:rPr>
        <w:t>Deb clarified that LCCH is not region HCRP lead</w:t>
      </w:r>
      <w:r w:rsidR="00837162">
        <w:rPr>
          <w:rFonts w:ascii="Arial" w:hAnsi="Arial"/>
          <w:sz w:val="20"/>
          <w:szCs w:val="20"/>
        </w:rPr>
        <w:t>, but the Region 9 HCRP Lead is supportive of their proposal and declined to submit a proposal instead</w:t>
      </w:r>
    </w:p>
    <w:p w14:paraId="57E0EF12" w14:textId="4D9B2200" w:rsidR="00837162" w:rsidRDefault="00837162" w:rsidP="004231F4">
      <w:pPr>
        <w:pStyle w:val="ListParagraph"/>
        <w:numPr>
          <w:ilvl w:val="2"/>
          <w:numId w:val="6"/>
        </w:numPr>
        <w:rPr>
          <w:rFonts w:ascii="Arial" w:hAnsi="Arial"/>
          <w:sz w:val="20"/>
          <w:szCs w:val="20"/>
        </w:rPr>
      </w:pPr>
      <w:r>
        <w:rPr>
          <w:rFonts w:ascii="Arial" w:hAnsi="Arial"/>
          <w:sz w:val="20"/>
          <w:szCs w:val="20"/>
        </w:rPr>
        <w:t>Steering Committee recommendations:</w:t>
      </w:r>
    </w:p>
    <w:p w14:paraId="1EAC2884" w14:textId="40BC5A18" w:rsidR="00837162" w:rsidRDefault="00F07901" w:rsidP="004231F4">
      <w:pPr>
        <w:pStyle w:val="ListParagraph"/>
        <w:numPr>
          <w:ilvl w:val="3"/>
          <w:numId w:val="6"/>
        </w:numPr>
        <w:rPr>
          <w:rFonts w:ascii="Arial" w:hAnsi="Arial"/>
          <w:sz w:val="20"/>
          <w:szCs w:val="20"/>
        </w:rPr>
      </w:pPr>
      <w:r>
        <w:rPr>
          <w:rFonts w:ascii="Arial" w:hAnsi="Arial"/>
          <w:sz w:val="20"/>
          <w:szCs w:val="20"/>
        </w:rPr>
        <w:lastRenderedPageBreak/>
        <w:t>I</w:t>
      </w:r>
      <w:r w:rsidR="00837162">
        <w:rPr>
          <w:rFonts w:ascii="Arial" w:hAnsi="Arial"/>
          <w:sz w:val="20"/>
          <w:szCs w:val="20"/>
        </w:rPr>
        <w:t xml:space="preserve">nclude all Bonus funds RRH proposals in the CoC project listing, with revisions to funding requests since the max amount of Bonus funds available is not sufficient to fund all proposals at their initial funding levels. </w:t>
      </w:r>
    </w:p>
    <w:p w14:paraId="1F7E12FB" w14:textId="42AAE7EC" w:rsidR="004231F4" w:rsidRDefault="004231F4" w:rsidP="004231F4">
      <w:pPr>
        <w:pStyle w:val="ListParagraph"/>
        <w:numPr>
          <w:ilvl w:val="4"/>
          <w:numId w:val="6"/>
        </w:numPr>
        <w:rPr>
          <w:rFonts w:ascii="Arial" w:hAnsi="Arial"/>
          <w:sz w:val="20"/>
          <w:szCs w:val="20"/>
        </w:rPr>
      </w:pPr>
      <w:r>
        <w:rPr>
          <w:rFonts w:ascii="Arial" w:hAnsi="Arial"/>
          <w:sz w:val="20"/>
          <w:szCs w:val="20"/>
        </w:rPr>
        <w:t>Recommended funding revisions would adjust every proposals request so that the total amount requested is equivalent to 13.5% of the regions RRH need cost estimate (based on the CoC Needs analysis completed 1/18)</w:t>
      </w:r>
    </w:p>
    <w:p w14:paraId="3190202D" w14:textId="24AECD68" w:rsidR="004231F4" w:rsidRDefault="004231F4" w:rsidP="004231F4">
      <w:pPr>
        <w:pStyle w:val="ListParagraph"/>
        <w:numPr>
          <w:ilvl w:val="4"/>
          <w:numId w:val="6"/>
        </w:numPr>
        <w:rPr>
          <w:rFonts w:ascii="Arial" w:hAnsi="Arial"/>
          <w:sz w:val="20"/>
          <w:szCs w:val="20"/>
        </w:rPr>
      </w:pPr>
      <w:r>
        <w:rPr>
          <w:rFonts w:ascii="Arial" w:hAnsi="Arial"/>
          <w:sz w:val="20"/>
          <w:szCs w:val="20"/>
        </w:rPr>
        <w:t>Detailed proposal info and proposed funding revisions were shared with the CoC Board in advance of the meeting</w:t>
      </w:r>
    </w:p>
    <w:p w14:paraId="7AC801BB" w14:textId="3228B6DF" w:rsidR="006C0C53" w:rsidRDefault="006C0C53" w:rsidP="004231F4">
      <w:pPr>
        <w:pStyle w:val="ListParagraph"/>
        <w:numPr>
          <w:ilvl w:val="3"/>
          <w:numId w:val="6"/>
        </w:numPr>
        <w:rPr>
          <w:rFonts w:ascii="Arial" w:hAnsi="Arial"/>
          <w:sz w:val="20"/>
          <w:szCs w:val="20"/>
        </w:rPr>
      </w:pPr>
      <w:r>
        <w:rPr>
          <w:rFonts w:ascii="Arial" w:hAnsi="Arial"/>
          <w:sz w:val="20"/>
          <w:szCs w:val="20"/>
        </w:rPr>
        <w:t>Beth asked if there was a funding level th</w:t>
      </w:r>
      <w:r w:rsidR="004231F4">
        <w:rPr>
          <w:rFonts w:ascii="Arial" w:hAnsi="Arial"/>
          <w:sz w:val="20"/>
          <w:szCs w:val="20"/>
        </w:rPr>
        <w:t>at would be too small to make a RRH project</w:t>
      </w:r>
      <w:r>
        <w:rPr>
          <w:rFonts w:ascii="Arial" w:hAnsi="Arial"/>
          <w:sz w:val="20"/>
          <w:szCs w:val="20"/>
        </w:rPr>
        <w:t xml:space="preserve"> </w:t>
      </w:r>
      <w:r w:rsidR="004231F4">
        <w:rPr>
          <w:rFonts w:ascii="Arial" w:hAnsi="Arial"/>
          <w:sz w:val="20"/>
          <w:szCs w:val="20"/>
        </w:rPr>
        <w:t>worthwhile to operate. Erica provided more background and context re: the additional RRH competitive funds that are being awarded via HCRP this year, and how this impacted the Steering Committee’s decision to recommend trying to include all RRH proposals in the CoC application/listing</w:t>
      </w:r>
    </w:p>
    <w:p w14:paraId="53B71836" w14:textId="59592009" w:rsidR="004231F4" w:rsidRDefault="004231F4" w:rsidP="004231F4">
      <w:pPr>
        <w:pStyle w:val="ListParagraph"/>
        <w:numPr>
          <w:ilvl w:val="3"/>
          <w:numId w:val="6"/>
        </w:numPr>
        <w:rPr>
          <w:rFonts w:ascii="Arial" w:hAnsi="Arial"/>
          <w:sz w:val="20"/>
          <w:szCs w:val="20"/>
        </w:rPr>
      </w:pPr>
      <w:r>
        <w:rPr>
          <w:rFonts w:ascii="Arial" w:hAnsi="Arial"/>
          <w:sz w:val="20"/>
          <w:szCs w:val="20"/>
        </w:rPr>
        <w:t>Additionally, Scott Gary emphasized that RRH projects only have costs related to temporary financial assistance and staff, not costs to operating a building or anything. For projects with other RRH funds to administer, this means that they can more easily leverage RRH funds from one source, with funds from another, as a way to increase the total scale of RRH resources</w:t>
      </w:r>
    </w:p>
    <w:p w14:paraId="559094E8" w14:textId="2A163A21" w:rsidR="004231F4" w:rsidRDefault="006C0C53" w:rsidP="004231F4">
      <w:pPr>
        <w:pStyle w:val="ListParagraph"/>
        <w:numPr>
          <w:ilvl w:val="2"/>
          <w:numId w:val="6"/>
        </w:numPr>
        <w:rPr>
          <w:rFonts w:ascii="Arial" w:hAnsi="Arial"/>
          <w:sz w:val="20"/>
          <w:szCs w:val="20"/>
        </w:rPr>
      </w:pPr>
      <w:r>
        <w:rPr>
          <w:rFonts w:ascii="Arial" w:hAnsi="Arial"/>
          <w:sz w:val="20"/>
          <w:szCs w:val="20"/>
        </w:rPr>
        <w:t xml:space="preserve">Katie </w:t>
      </w:r>
      <w:r w:rsidR="004231F4">
        <w:rPr>
          <w:rFonts w:ascii="Arial" w:hAnsi="Arial"/>
          <w:sz w:val="20"/>
          <w:szCs w:val="20"/>
        </w:rPr>
        <w:t>Kitchin made a motion to accept the Steering Committee recommendations to include all RRH proposals in the CoC project listing, with the proposed funding revisions.</w:t>
      </w:r>
      <w:r>
        <w:rPr>
          <w:rFonts w:ascii="Arial" w:hAnsi="Arial"/>
          <w:sz w:val="20"/>
          <w:szCs w:val="20"/>
        </w:rPr>
        <w:t xml:space="preserve"> </w:t>
      </w:r>
    </w:p>
    <w:p w14:paraId="5BEE46B4" w14:textId="31C0BA76" w:rsidR="006C0C53" w:rsidRDefault="004231F4" w:rsidP="004231F4">
      <w:pPr>
        <w:pStyle w:val="ListParagraph"/>
        <w:numPr>
          <w:ilvl w:val="2"/>
          <w:numId w:val="6"/>
        </w:numPr>
        <w:rPr>
          <w:rFonts w:ascii="Arial" w:hAnsi="Arial"/>
          <w:sz w:val="20"/>
          <w:szCs w:val="20"/>
        </w:rPr>
      </w:pPr>
      <w:r>
        <w:rPr>
          <w:rFonts w:ascii="Arial" w:hAnsi="Arial"/>
          <w:sz w:val="20"/>
          <w:szCs w:val="20"/>
        </w:rPr>
        <w:t>Heather Hall seconded the motion</w:t>
      </w:r>
    </w:p>
    <w:p w14:paraId="772F5DDE" w14:textId="0683AFD8" w:rsidR="004231F4" w:rsidRDefault="004231F4" w:rsidP="00F07901">
      <w:pPr>
        <w:pStyle w:val="ListParagraph"/>
        <w:numPr>
          <w:ilvl w:val="2"/>
          <w:numId w:val="6"/>
        </w:numPr>
        <w:rPr>
          <w:rFonts w:ascii="Arial" w:hAnsi="Arial"/>
          <w:sz w:val="20"/>
          <w:szCs w:val="20"/>
        </w:rPr>
      </w:pPr>
      <w:r>
        <w:rPr>
          <w:rFonts w:ascii="Arial" w:hAnsi="Arial"/>
          <w:sz w:val="20"/>
          <w:szCs w:val="20"/>
        </w:rPr>
        <w:t xml:space="preserve">Vote passed unanimously, with the following abstentions from voting: </w:t>
      </w:r>
    </w:p>
    <w:p w14:paraId="3503D633" w14:textId="584D107B" w:rsidR="006C0C53" w:rsidRDefault="006C0C53" w:rsidP="00F07901">
      <w:pPr>
        <w:pStyle w:val="ListParagraph"/>
        <w:numPr>
          <w:ilvl w:val="2"/>
          <w:numId w:val="6"/>
        </w:numPr>
        <w:rPr>
          <w:rFonts w:ascii="Arial" w:hAnsi="Arial"/>
          <w:sz w:val="20"/>
          <w:szCs w:val="20"/>
        </w:rPr>
      </w:pPr>
      <w:r>
        <w:rPr>
          <w:rFonts w:ascii="Arial" w:hAnsi="Arial"/>
          <w:sz w:val="20"/>
          <w:szCs w:val="20"/>
        </w:rPr>
        <w:t xml:space="preserve">Abstentions: </w:t>
      </w:r>
      <w:r w:rsidR="00B27F06">
        <w:rPr>
          <w:rFonts w:ascii="Arial" w:hAnsi="Arial"/>
          <w:sz w:val="20"/>
          <w:szCs w:val="20"/>
        </w:rPr>
        <w:t>Deb</w:t>
      </w:r>
      <w:r w:rsidR="004231F4">
        <w:rPr>
          <w:rFonts w:ascii="Arial" w:hAnsi="Arial"/>
          <w:sz w:val="20"/>
          <w:szCs w:val="20"/>
        </w:rPr>
        <w:t xml:space="preserve"> Tegtmeyer</w:t>
      </w:r>
      <w:r w:rsidR="00B27F06">
        <w:rPr>
          <w:rFonts w:ascii="Arial" w:hAnsi="Arial"/>
          <w:sz w:val="20"/>
          <w:szCs w:val="20"/>
        </w:rPr>
        <w:t>, Bambi B</w:t>
      </w:r>
      <w:r w:rsidR="004231F4">
        <w:rPr>
          <w:rFonts w:ascii="Arial" w:hAnsi="Arial"/>
          <w:sz w:val="20"/>
          <w:szCs w:val="20"/>
        </w:rPr>
        <w:t>aughn</w:t>
      </w:r>
      <w:r w:rsidR="00B27F06">
        <w:rPr>
          <w:rFonts w:ascii="Arial" w:hAnsi="Arial"/>
          <w:sz w:val="20"/>
          <w:szCs w:val="20"/>
        </w:rPr>
        <w:t>; Angie</w:t>
      </w:r>
      <w:r w:rsidR="004231F4">
        <w:rPr>
          <w:rFonts w:ascii="Arial" w:hAnsi="Arial"/>
          <w:sz w:val="20"/>
          <w:szCs w:val="20"/>
        </w:rPr>
        <w:t xml:space="preserve"> Franlin</w:t>
      </w:r>
      <w:r w:rsidR="00B27F06">
        <w:rPr>
          <w:rFonts w:ascii="Arial" w:hAnsi="Arial"/>
          <w:sz w:val="20"/>
          <w:szCs w:val="20"/>
        </w:rPr>
        <w:t>, Dawn R</w:t>
      </w:r>
      <w:r w:rsidR="004231F4">
        <w:rPr>
          <w:rFonts w:ascii="Arial" w:hAnsi="Arial"/>
          <w:sz w:val="20"/>
          <w:szCs w:val="20"/>
        </w:rPr>
        <w:t>auch</w:t>
      </w:r>
      <w:r w:rsidR="00B27F06">
        <w:rPr>
          <w:rFonts w:ascii="Arial" w:hAnsi="Arial"/>
          <w:sz w:val="20"/>
          <w:szCs w:val="20"/>
        </w:rPr>
        <w:t>, CJ Roberts</w:t>
      </w:r>
    </w:p>
    <w:p w14:paraId="04FD9763" w14:textId="77777777" w:rsidR="004231F4" w:rsidRDefault="004231F4" w:rsidP="004231F4">
      <w:pPr>
        <w:pStyle w:val="ListParagraph"/>
        <w:ind w:left="3240"/>
        <w:rPr>
          <w:rFonts w:ascii="Arial" w:hAnsi="Arial"/>
          <w:sz w:val="20"/>
          <w:szCs w:val="20"/>
        </w:rPr>
      </w:pPr>
    </w:p>
    <w:p w14:paraId="722610F7" w14:textId="721135D8" w:rsidR="003C2A80" w:rsidRDefault="003C2A80" w:rsidP="00F07901">
      <w:pPr>
        <w:pStyle w:val="ListParagraph"/>
        <w:numPr>
          <w:ilvl w:val="0"/>
          <w:numId w:val="6"/>
        </w:numPr>
        <w:rPr>
          <w:rFonts w:ascii="Arial" w:hAnsi="Arial"/>
          <w:sz w:val="20"/>
          <w:szCs w:val="20"/>
        </w:rPr>
      </w:pPr>
      <w:r>
        <w:rPr>
          <w:rFonts w:ascii="Arial" w:hAnsi="Arial"/>
          <w:sz w:val="20"/>
          <w:szCs w:val="20"/>
        </w:rPr>
        <w:t>DV Bonus</w:t>
      </w:r>
      <w:r w:rsidR="00F07901">
        <w:rPr>
          <w:rFonts w:ascii="Arial" w:hAnsi="Arial"/>
          <w:sz w:val="20"/>
          <w:szCs w:val="20"/>
        </w:rPr>
        <w:t xml:space="preserve"> Funding and Proposals</w:t>
      </w:r>
    </w:p>
    <w:p w14:paraId="14D913DA" w14:textId="11F2DFF5" w:rsidR="00F07901" w:rsidRDefault="00F07901" w:rsidP="00F07901">
      <w:pPr>
        <w:pStyle w:val="ListParagraph"/>
        <w:numPr>
          <w:ilvl w:val="1"/>
          <w:numId w:val="6"/>
        </w:numPr>
        <w:rPr>
          <w:rFonts w:ascii="Arial" w:hAnsi="Arial"/>
          <w:sz w:val="20"/>
          <w:szCs w:val="20"/>
        </w:rPr>
      </w:pPr>
      <w:r>
        <w:rPr>
          <w:rFonts w:ascii="Arial" w:hAnsi="Arial"/>
          <w:sz w:val="20"/>
          <w:szCs w:val="20"/>
        </w:rPr>
        <w:t>Erica reviewed DV Bonus application requirements, background, and context. As a reminder, HUD is only permitting CoC’s to submit one DV Bonus application per project type. Erica reminded the CoC Board that they previously agreed to only submit an application for an RRH project, since that is the CoC’s greatest need</w:t>
      </w:r>
    </w:p>
    <w:p w14:paraId="194B9D47" w14:textId="001B9E03" w:rsidR="00F07901" w:rsidRDefault="00F07901" w:rsidP="00F07901">
      <w:pPr>
        <w:pStyle w:val="ListParagraph"/>
        <w:numPr>
          <w:ilvl w:val="1"/>
          <w:numId w:val="6"/>
        </w:numPr>
        <w:rPr>
          <w:rFonts w:ascii="Arial" w:hAnsi="Arial"/>
          <w:sz w:val="20"/>
          <w:szCs w:val="20"/>
        </w:rPr>
      </w:pPr>
      <w:r>
        <w:rPr>
          <w:rFonts w:ascii="Arial" w:hAnsi="Arial"/>
          <w:sz w:val="20"/>
          <w:szCs w:val="20"/>
        </w:rPr>
        <w:t>Erica provided summary information about the proposals received. Two proposals were received.</w:t>
      </w:r>
    </w:p>
    <w:p w14:paraId="4B92EE25" w14:textId="77777777" w:rsidR="00F07901" w:rsidRDefault="00F07901" w:rsidP="00F07901">
      <w:pPr>
        <w:pStyle w:val="ListParagraph"/>
        <w:numPr>
          <w:ilvl w:val="1"/>
          <w:numId w:val="6"/>
        </w:numPr>
        <w:rPr>
          <w:rFonts w:ascii="Arial" w:hAnsi="Arial"/>
          <w:sz w:val="20"/>
          <w:szCs w:val="20"/>
        </w:rPr>
      </w:pPr>
      <w:r>
        <w:rPr>
          <w:rFonts w:ascii="Arial" w:hAnsi="Arial"/>
          <w:sz w:val="20"/>
          <w:szCs w:val="20"/>
        </w:rPr>
        <w:t>Steering Committee recommendations:</w:t>
      </w:r>
    </w:p>
    <w:p w14:paraId="5EC6CC85" w14:textId="2490FA5C" w:rsidR="00F07901" w:rsidRDefault="00F07901" w:rsidP="00F07901">
      <w:pPr>
        <w:pStyle w:val="ListParagraph"/>
        <w:numPr>
          <w:ilvl w:val="2"/>
          <w:numId w:val="6"/>
        </w:numPr>
        <w:rPr>
          <w:rFonts w:ascii="Arial" w:hAnsi="Arial"/>
          <w:sz w:val="20"/>
          <w:szCs w:val="20"/>
        </w:rPr>
      </w:pPr>
      <w:r>
        <w:rPr>
          <w:rFonts w:ascii="Arial" w:hAnsi="Arial"/>
          <w:sz w:val="20"/>
          <w:szCs w:val="20"/>
        </w:rPr>
        <w:t xml:space="preserve">Include the proposal from the Battered Women’s Shelter in the CoC project listing, and permit the application to request all the DV Bonus funding </w:t>
      </w:r>
      <w:r w:rsidR="0069753C">
        <w:rPr>
          <w:rFonts w:ascii="Arial" w:hAnsi="Arial"/>
          <w:sz w:val="20"/>
          <w:szCs w:val="20"/>
        </w:rPr>
        <w:t xml:space="preserve">available to our CoC, but </w:t>
      </w:r>
      <w:r w:rsidR="001B468B">
        <w:rPr>
          <w:rFonts w:ascii="Arial" w:hAnsi="Arial"/>
          <w:sz w:val="20"/>
          <w:szCs w:val="20"/>
        </w:rPr>
        <w:t>several conditions must be met.</w:t>
      </w:r>
      <w:r w:rsidR="0069753C">
        <w:rPr>
          <w:rFonts w:ascii="Arial" w:hAnsi="Arial"/>
          <w:sz w:val="20"/>
          <w:szCs w:val="20"/>
        </w:rPr>
        <w:t xml:space="preserve"> </w:t>
      </w:r>
      <w:r>
        <w:rPr>
          <w:rFonts w:ascii="Arial" w:hAnsi="Arial"/>
          <w:sz w:val="20"/>
          <w:szCs w:val="20"/>
        </w:rPr>
        <w:t xml:space="preserve"> </w:t>
      </w:r>
    </w:p>
    <w:p w14:paraId="530D6CCF" w14:textId="75CFCFC6" w:rsidR="006B4016" w:rsidRDefault="006B4016" w:rsidP="006B4016">
      <w:pPr>
        <w:pStyle w:val="ListParagraph"/>
        <w:numPr>
          <w:ilvl w:val="3"/>
          <w:numId w:val="6"/>
        </w:numPr>
        <w:rPr>
          <w:rFonts w:ascii="Arial" w:hAnsi="Arial"/>
          <w:sz w:val="20"/>
          <w:szCs w:val="20"/>
        </w:rPr>
      </w:pPr>
      <w:r>
        <w:rPr>
          <w:rFonts w:ascii="Arial" w:hAnsi="Arial"/>
          <w:sz w:val="20"/>
          <w:szCs w:val="20"/>
        </w:rPr>
        <w:t>The primary reason the Steering Committee is recommending the BWS proposal over the other proposal is that the other proposal requested less than $500,000 in total funding and proposed to serve only one Homeless Planning Region. BWS proposal touched many more regions and requested the full amount of funding availalble</w:t>
      </w:r>
    </w:p>
    <w:p w14:paraId="68E15F9B" w14:textId="79AC4432" w:rsidR="001B468B" w:rsidRDefault="001B468B" w:rsidP="00F07901">
      <w:pPr>
        <w:pStyle w:val="ListParagraph"/>
        <w:numPr>
          <w:ilvl w:val="2"/>
          <w:numId w:val="6"/>
        </w:numPr>
        <w:rPr>
          <w:rFonts w:ascii="Arial" w:hAnsi="Arial"/>
          <w:sz w:val="20"/>
          <w:szCs w:val="20"/>
        </w:rPr>
      </w:pPr>
      <w:r>
        <w:rPr>
          <w:rFonts w:ascii="Arial" w:hAnsi="Arial"/>
          <w:sz w:val="20"/>
          <w:szCs w:val="20"/>
        </w:rPr>
        <w:t>Erica summarized the conditions the Steering Committee identified, and also shared Steering Committee notes with the CoC Board in advance</w:t>
      </w:r>
    </w:p>
    <w:p w14:paraId="1DF2D308" w14:textId="2431DD5C" w:rsidR="0029357B" w:rsidRDefault="00D218C7" w:rsidP="001B468B">
      <w:pPr>
        <w:pStyle w:val="ListParagraph"/>
        <w:numPr>
          <w:ilvl w:val="2"/>
          <w:numId w:val="6"/>
        </w:numPr>
        <w:rPr>
          <w:rFonts w:ascii="Arial" w:hAnsi="Arial"/>
          <w:sz w:val="20"/>
          <w:szCs w:val="20"/>
        </w:rPr>
      </w:pPr>
      <w:r>
        <w:rPr>
          <w:rFonts w:ascii="Arial" w:hAnsi="Arial"/>
          <w:sz w:val="20"/>
          <w:szCs w:val="20"/>
        </w:rPr>
        <w:t>Barb H</w:t>
      </w:r>
      <w:r w:rsidR="001B468B">
        <w:rPr>
          <w:rFonts w:ascii="Arial" w:hAnsi="Arial"/>
          <w:sz w:val="20"/>
          <w:szCs w:val="20"/>
        </w:rPr>
        <w:t>olman</w:t>
      </w:r>
      <w:r>
        <w:rPr>
          <w:rFonts w:ascii="Arial" w:hAnsi="Arial"/>
          <w:sz w:val="20"/>
          <w:szCs w:val="20"/>
        </w:rPr>
        <w:t xml:space="preserve"> asked </w:t>
      </w:r>
      <w:r w:rsidR="001B468B">
        <w:rPr>
          <w:rFonts w:ascii="Arial" w:hAnsi="Arial"/>
          <w:sz w:val="20"/>
          <w:szCs w:val="20"/>
        </w:rPr>
        <w:t>if there would be an opportunity to add new partner agencies to the project</w:t>
      </w:r>
      <w:r>
        <w:rPr>
          <w:rFonts w:ascii="Arial" w:hAnsi="Arial"/>
          <w:sz w:val="20"/>
          <w:szCs w:val="20"/>
        </w:rPr>
        <w:t xml:space="preserve"> </w:t>
      </w:r>
      <w:r w:rsidR="001B468B">
        <w:rPr>
          <w:rFonts w:ascii="Arial" w:hAnsi="Arial"/>
          <w:sz w:val="20"/>
          <w:szCs w:val="20"/>
        </w:rPr>
        <w:t>over time.</w:t>
      </w:r>
      <w:r>
        <w:rPr>
          <w:rFonts w:ascii="Arial" w:hAnsi="Arial"/>
          <w:sz w:val="20"/>
          <w:szCs w:val="20"/>
        </w:rPr>
        <w:t xml:space="preserve"> CoC staff believe this can happen, so long as the proposal relies on partner agencies not sub-recipients</w:t>
      </w:r>
      <w:r w:rsidR="001B468B">
        <w:rPr>
          <w:rFonts w:ascii="Arial" w:hAnsi="Arial"/>
          <w:sz w:val="20"/>
          <w:szCs w:val="20"/>
        </w:rPr>
        <w:t>. Although it’s possible that sub-recipients could be added in the future, but a grant amendment might be needed</w:t>
      </w:r>
    </w:p>
    <w:p w14:paraId="1F47477A" w14:textId="772A162E" w:rsidR="00D218C7" w:rsidRDefault="001B468B" w:rsidP="00F07901">
      <w:pPr>
        <w:pStyle w:val="ListParagraph"/>
        <w:numPr>
          <w:ilvl w:val="2"/>
          <w:numId w:val="6"/>
        </w:numPr>
        <w:rPr>
          <w:rFonts w:ascii="Arial" w:hAnsi="Arial"/>
          <w:sz w:val="20"/>
          <w:szCs w:val="20"/>
        </w:rPr>
      </w:pPr>
      <w:r>
        <w:rPr>
          <w:rFonts w:ascii="Arial" w:hAnsi="Arial"/>
          <w:sz w:val="20"/>
          <w:szCs w:val="20"/>
        </w:rPr>
        <w:t>Barb a</w:t>
      </w:r>
      <w:r w:rsidR="00D218C7">
        <w:rPr>
          <w:rFonts w:ascii="Arial" w:hAnsi="Arial"/>
          <w:sz w:val="20"/>
          <w:szCs w:val="20"/>
        </w:rPr>
        <w:t xml:space="preserve">lso </w:t>
      </w:r>
      <w:r>
        <w:rPr>
          <w:rFonts w:ascii="Arial" w:hAnsi="Arial"/>
          <w:sz w:val="20"/>
          <w:szCs w:val="20"/>
        </w:rPr>
        <w:t>asked</w:t>
      </w:r>
      <w:r w:rsidR="00D218C7">
        <w:rPr>
          <w:rFonts w:ascii="Arial" w:hAnsi="Arial"/>
          <w:sz w:val="20"/>
          <w:szCs w:val="20"/>
        </w:rPr>
        <w:t xml:space="preserve"> about ability to refer to the project for </w:t>
      </w:r>
      <w:r>
        <w:rPr>
          <w:rFonts w:ascii="Arial" w:hAnsi="Arial"/>
          <w:sz w:val="20"/>
          <w:szCs w:val="20"/>
        </w:rPr>
        <w:t xml:space="preserve">DV Bous </w:t>
      </w:r>
      <w:r w:rsidR="00D218C7">
        <w:rPr>
          <w:rFonts w:ascii="Arial" w:hAnsi="Arial"/>
          <w:sz w:val="20"/>
          <w:szCs w:val="20"/>
        </w:rPr>
        <w:t xml:space="preserve">RRH </w:t>
      </w:r>
      <w:r>
        <w:rPr>
          <w:rFonts w:ascii="Arial" w:hAnsi="Arial"/>
          <w:sz w:val="20"/>
          <w:szCs w:val="20"/>
        </w:rPr>
        <w:t xml:space="preserve">project </w:t>
      </w:r>
      <w:r w:rsidR="00D218C7">
        <w:rPr>
          <w:rFonts w:ascii="Arial" w:hAnsi="Arial"/>
          <w:sz w:val="20"/>
          <w:szCs w:val="20"/>
        </w:rPr>
        <w:t>if not a formal partner agency</w:t>
      </w:r>
      <w:r>
        <w:rPr>
          <w:rFonts w:ascii="Arial" w:hAnsi="Arial"/>
          <w:sz w:val="20"/>
          <w:szCs w:val="20"/>
        </w:rPr>
        <w:t>. Erica agreed that revisions to local CE plans and development of formal referral protocol would be needed</w:t>
      </w:r>
    </w:p>
    <w:p w14:paraId="4B246FAA" w14:textId="23F1D1E2" w:rsidR="00D218C7" w:rsidRDefault="00D218C7" w:rsidP="00F07901">
      <w:pPr>
        <w:pStyle w:val="ListParagraph"/>
        <w:numPr>
          <w:ilvl w:val="2"/>
          <w:numId w:val="6"/>
        </w:numPr>
        <w:rPr>
          <w:rFonts w:ascii="Arial" w:hAnsi="Arial"/>
          <w:sz w:val="20"/>
          <w:szCs w:val="20"/>
        </w:rPr>
      </w:pPr>
      <w:r>
        <w:rPr>
          <w:rFonts w:ascii="Arial" w:hAnsi="Arial"/>
          <w:sz w:val="20"/>
          <w:szCs w:val="20"/>
        </w:rPr>
        <w:t>CoC staff will work with applicant to determine how to incorporate project into CE (if funded), and to finalize referral protocol</w:t>
      </w:r>
      <w:r w:rsidR="001B468B">
        <w:rPr>
          <w:rFonts w:ascii="Arial" w:hAnsi="Arial"/>
          <w:sz w:val="20"/>
          <w:szCs w:val="20"/>
        </w:rPr>
        <w:t xml:space="preserve"> – this condition will be added, if the CoC Board approves this DV Bonus project</w:t>
      </w:r>
    </w:p>
    <w:p w14:paraId="20517CEF" w14:textId="78796031" w:rsidR="001B468B" w:rsidRDefault="001B468B" w:rsidP="00F07901">
      <w:pPr>
        <w:pStyle w:val="ListParagraph"/>
        <w:numPr>
          <w:ilvl w:val="2"/>
          <w:numId w:val="6"/>
        </w:numPr>
        <w:rPr>
          <w:rFonts w:ascii="Arial" w:hAnsi="Arial"/>
          <w:sz w:val="20"/>
          <w:szCs w:val="20"/>
        </w:rPr>
      </w:pPr>
      <w:r>
        <w:rPr>
          <w:rFonts w:ascii="Arial" w:hAnsi="Arial"/>
          <w:sz w:val="20"/>
          <w:szCs w:val="20"/>
        </w:rPr>
        <w:lastRenderedPageBreak/>
        <w:t>The Board discussed implications of not submitting any DV Bonus funding applications, including possibly leaving RRH resources on the table, potentially losing points in the CoC Application, and decided not submitting an DV Bonus application was not an option</w:t>
      </w:r>
    </w:p>
    <w:p w14:paraId="37069793" w14:textId="025C0C53" w:rsidR="00D218C7" w:rsidRDefault="007351F9" w:rsidP="001B468B">
      <w:pPr>
        <w:pStyle w:val="ListParagraph"/>
        <w:numPr>
          <w:ilvl w:val="1"/>
          <w:numId w:val="6"/>
        </w:numPr>
        <w:rPr>
          <w:rFonts w:ascii="Arial" w:hAnsi="Arial"/>
          <w:sz w:val="20"/>
          <w:szCs w:val="20"/>
        </w:rPr>
      </w:pPr>
      <w:r>
        <w:rPr>
          <w:rFonts w:ascii="Arial" w:hAnsi="Arial"/>
          <w:sz w:val="20"/>
          <w:szCs w:val="20"/>
        </w:rPr>
        <w:t xml:space="preserve">Heather </w:t>
      </w:r>
      <w:r w:rsidR="001B468B">
        <w:rPr>
          <w:rFonts w:ascii="Arial" w:hAnsi="Arial"/>
          <w:sz w:val="20"/>
          <w:szCs w:val="20"/>
        </w:rPr>
        <w:t xml:space="preserve">Hall made a motion </w:t>
      </w:r>
      <w:r>
        <w:rPr>
          <w:rFonts w:ascii="Arial" w:hAnsi="Arial"/>
          <w:sz w:val="20"/>
          <w:szCs w:val="20"/>
        </w:rPr>
        <w:t xml:space="preserve">to accept Steering Committee recommendations to include </w:t>
      </w:r>
      <w:r w:rsidR="001B468B">
        <w:rPr>
          <w:rFonts w:ascii="Arial" w:hAnsi="Arial"/>
          <w:sz w:val="20"/>
          <w:szCs w:val="20"/>
        </w:rPr>
        <w:t xml:space="preserve">the Battered Women’s Shelter’s DV Bonus </w:t>
      </w:r>
      <w:r>
        <w:rPr>
          <w:rFonts w:ascii="Arial" w:hAnsi="Arial"/>
          <w:sz w:val="20"/>
          <w:szCs w:val="20"/>
        </w:rPr>
        <w:t>proposal in the project listing, with all conditions</w:t>
      </w:r>
      <w:r w:rsidR="001B468B">
        <w:rPr>
          <w:rFonts w:ascii="Arial" w:hAnsi="Arial"/>
          <w:sz w:val="20"/>
          <w:szCs w:val="20"/>
        </w:rPr>
        <w:t xml:space="preserve"> the Steering Committee previously identified</w:t>
      </w:r>
    </w:p>
    <w:p w14:paraId="50AD312C" w14:textId="2DA9799A" w:rsidR="007351F9" w:rsidRDefault="006B4016" w:rsidP="001B468B">
      <w:pPr>
        <w:pStyle w:val="ListParagraph"/>
        <w:numPr>
          <w:ilvl w:val="1"/>
          <w:numId w:val="6"/>
        </w:numPr>
        <w:rPr>
          <w:rFonts w:ascii="Arial" w:hAnsi="Arial"/>
          <w:sz w:val="20"/>
          <w:szCs w:val="20"/>
        </w:rPr>
      </w:pPr>
      <w:r>
        <w:rPr>
          <w:rFonts w:ascii="Arial" w:hAnsi="Arial"/>
          <w:sz w:val="20"/>
          <w:szCs w:val="20"/>
        </w:rPr>
        <w:t xml:space="preserve">Amanda </w:t>
      </w:r>
      <w:r w:rsidR="007351F9">
        <w:rPr>
          <w:rFonts w:ascii="Arial" w:hAnsi="Arial"/>
          <w:sz w:val="20"/>
          <w:szCs w:val="20"/>
        </w:rPr>
        <w:t>W</w:t>
      </w:r>
      <w:r>
        <w:rPr>
          <w:rFonts w:ascii="Arial" w:hAnsi="Arial"/>
          <w:sz w:val="20"/>
          <w:szCs w:val="20"/>
        </w:rPr>
        <w:t>ilson</w:t>
      </w:r>
      <w:r w:rsidR="007351F9">
        <w:rPr>
          <w:rFonts w:ascii="Arial" w:hAnsi="Arial"/>
          <w:sz w:val="20"/>
          <w:szCs w:val="20"/>
        </w:rPr>
        <w:t xml:space="preserve"> seconded</w:t>
      </w:r>
      <w:r>
        <w:rPr>
          <w:rFonts w:ascii="Arial" w:hAnsi="Arial"/>
          <w:sz w:val="20"/>
          <w:szCs w:val="20"/>
        </w:rPr>
        <w:t xml:space="preserve"> the motion</w:t>
      </w:r>
    </w:p>
    <w:p w14:paraId="39FCBCD5" w14:textId="0B6F0ED5" w:rsidR="007351F9" w:rsidRDefault="006B4016" w:rsidP="001B468B">
      <w:pPr>
        <w:pStyle w:val="ListParagraph"/>
        <w:numPr>
          <w:ilvl w:val="1"/>
          <w:numId w:val="6"/>
        </w:numPr>
        <w:rPr>
          <w:rFonts w:ascii="Arial" w:hAnsi="Arial"/>
          <w:sz w:val="20"/>
          <w:szCs w:val="20"/>
        </w:rPr>
      </w:pPr>
      <w:r>
        <w:rPr>
          <w:rFonts w:ascii="Arial" w:hAnsi="Arial"/>
          <w:sz w:val="20"/>
          <w:szCs w:val="20"/>
        </w:rPr>
        <w:t>Vote passed unanimously, with no abstentions</w:t>
      </w:r>
    </w:p>
    <w:p w14:paraId="699D6C1D" w14:textId="77777777" w:rsidR="006969C7" w:rsidRPr="006969C7" w:rsidRDefault="006969C7" w:rsidP="006969C7">
      <w:pPr>
        <w:rPr>
          <w:rFonts w:ascii="Arial" w:hAnsi="Arial"/>
          <w:sz w:val="20"/>
          <w:szCs w:val="20"/>
        </w:rPr>
      </w:pPr>
    </w:p>
    <w:p w14:paraId="59E543EA" w14:textId="77777777" w:rsidR="008C2037" w:rsidRDefault="008C2037" w:rsidP="008C2037">
      <w:pPr>
        <w:pStyle w:val="ListParagraph"/>
        <w:ind w:left="1080"/>
        <w:rPr>
          <w:rFonts w:ascii="Arial" w:hAnsi="Arial"/>
          <w:sz w:val="20"/>
          <w:szCs w:val="20"/>
        </w:rPr>
      </w:pPr>
    </w:p>
    <w:p w14:paraId="592E44B4" w14:textId="77777777" w:rsidR="00DA278E" w:rsidRPr="001659F3" w:rsidRDefault="00DA278E" w:rsidP="001659F3">
      <w:pPr>
        <w:rPr>
          <w:rFonts w:ascii="Arial" w:hAnsi="Arial"/>
          <w:sz w:val="20"/>
          <w:szCs w:val="20"/>
        </w:rPr>
      </w:pPr>
    </w:p>
    <w:p w14:paraId="0D3CB766" w14:textId="77777777" w:rsidR="001950E6" w:rsidRPr="00FA2BE2" w:rsidRDefault="001950E6" w:rsidP="00E25346">
      <w:pPr>
        <w:rPr>
          <w:rFonts w:ascii="Arial" w:hAnsi="Arial"/>
          <w:sz w:val="20"/>
          <w:szCs w:val="20"/>
        </w:rPr>
      </w:pPr>
    </w:p>
    <w:p w14:paraId="4C178BB3" w14:textId="77777777" w:rsidR="003204E5" w:rsidRPr="00CD142E" w:rsidRDefault="003204E5" w:rsidP="003204E5">
      <w:pPr>
        <w:ind w:left="360"/>
        <w:rPr>
          <w:rFonts w:ascii="Arial" w:hAnsi="Arial"/>
        </w:rPr>
      </w:pPr>
    </w:p>
    <w:p w14:paraId="3E5729FE" w14:textId="77777777" w:rsidR="003204E5" w:rsidRPr="00CD142E" w:rsidRDefault="003204E5" w:rsidP="003204E5">
      <w:pPr>
        <w:ind w:left="360"/>
        <w:rPr>
          <w:rFonts w:ascii="Arial" w:hAnsi="Arial"/>
        </w:rPr>
      </w:pPr>
    </w:p>
    <w:p w14:paraId="30F2D88E" w14:textId="38D03355" w:rsidR="008C5109" w:rsidRDefault="008C5109"/>
    <w:p w14:paraId="7F585C28" w14:textId="77777777" w:rsidR="008C5109" w:rsidRPr="008C5109" w:rsidRDefault="008C5109" w:rsidP="008C5109"/>
    <w:p w14:paraId="1E3AC99E" w14:textId="77777777" w:rsidR="008C5109" w:rsidRPr="008C5109" w:rsidRDefault="008C5109" w:rsidP="008C5109"/>
    <w:p w14:paraId="77E44C07" w14:textId="77777777" w:rsidR="008C5109" w:rsidRPr="008C5109" w:rsidRDefault="008C5109" w:rsidP="008C5109"/>
    <w:p w14:paraId="638AA59F" w14:textId="77777777" w:rsidR="008C5109" w:rsidRPr="008C5109" w:rsidRDefault="008C5109" w:rsidP="008C5109"/>
    <w:p w14:paraId="08866379" w14:textId="77777777" w:rsidR="008C5109" w:rsidRPr="008C5109" w:rsidRDefault="008C5109" w:rsidP="008C5109"/>
    <w:p w14:paraId="4FCE6162" w14:textId="77777777" w:rsidR="008C5109" w:rsidRPr="008C5109" w:rsidRDefault="008C5109" w:rsidP="008C5109"/>
    <w:p w14:paraId="35A7008A" w14:textId="1C022CB7" w:rsidR="008C5109" w:rsidRPr="008C5109" w:rsidRDefault="008C5109" w:rsidP="008C5109">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7CA4432" w14:textId="77777777" w:rsidR="003204E5" w:rsidRDefault="003204E5" w:rsidP="008C5109"/>
    <w:p w14:paraId="3419BD93" w14:textId="592B9C9E"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DE10F4">
        <w:rPr>
          <w:rFonts w:ascii="Arial" w:hAnsi="Arial"/>
          <w:sz w:val="20"/>
          <w:szCs w:val="20"/>
        </w:rPr>
        <w:t xml:space="preserve">Monday, </w:t>
      </w:r>
      <w:r w:rsidR="00AD0E5A">
        <w:rPr>
          <w:rFonts w:ascii="Arial" w:hAnsi="Arial"/>
          <w:sz w:val="20"/>
          <w:szCs w:val="20"/>
        </w:rPr>
        <w:t>September 10</w:t>
      </w:r>
      <w:r w:rsidR="001659F3">
        <w:rPr>
          <w:rFonts w:ascii="Arial" w:hAnsi="Arial"/>
          <w:sz w:val="20"/>
          <w:szCs w:val="20"/>
        </w:rPr>
        <w:t>, 2018 at 10am</w:t>
      </w:r>
    </w:p>
    <w:p w14:paraId="0C1E6465" w14:textId="2458B334"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8C2037">
        <w:rPr>
          <w:rFonts w:ascii="Arial" w:hAnsi="Arial"/>
          <w:sz w:val="20"/>
          <w:szCs w:val="20"/>
        </w:rPr>
        <w:t xml:space="preserve">Webinar and Conference Call </w:t>
      </w:r>
      <w:r w:rsidR="000F473F">
        <w:rPr>
          <w:rFonts w:ascii="Arial" w:hAnsi="Arial"/>
          <w:sz w:val="20"/>
          <w:szCs w:val="20"/>
        </w:rPr>
        <w:t xml:space="preserve"> </w:t>
      </w:r>
    </w:p>
    <w:p w14:paraId="2A80472F" w14:textId="70FFDA34" w:rsidR="001659F3" w:rsidRPr="00404D55" w:rsidRDefault="001659F3" w:rsidP="008C5109">
      <w:pPr>
        <w:rPr>
          <w:rFonts w:ascii="Arial" w:hAnsi="Arial"/>
          <w:sz w:val="20"/>
          <w:szCs w:val="20"/>
        </w:rPr>
      </w:pPr>
    </w:p>
    <w:p w14:paraId="340942B5" w14:textId="77777777" w:rsidR="008C5109" w:rsidRPr="008C5109" w:rsidRDefault="008C5109" w:rsidP="008C5109"/>
    <w:sectPr w:rsidR="008C5109" w:rsidRPr="008C5109" w:rsidSect="008C5109">
      <w:footerReference w:type="default" r:id="rId7"/>
      <w:pgSz w:w="12240" w:h="15840"/>
      <w:pgMar w:top="1152" w:right="1440" w:bottom="1152" w:left="144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DF9E" w14:textId="77777777" w:rsidR="008F5556" w:rsidRDefault="008F5556" w:rsidP="00AD5CF3">
      <w:r>
        <w:separator/>
      </w:r>
    </w:p>
  </w:endnote>
  <w:endnote w:type="continuationSeparator" w:id="0">
    <w:p w14:paraId="77E454D0" w14:textId="77777777" w:rsidR="008F5556" w:rsidRDefault="008F5556"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DA50" w14:textId="45704145" w:rsidR="008C2037" w:rsidRDefault="001659F3" w:rsidP="00AD5CF3">
    <w:pPr>
      <w:pStyle w:val="Footer"/>
      <w:jc w:val="center"/>
    </w:pPr>
    <w:r w:rsidRPr="001659F3">
      <w:rPr>
        <w:noProof/>
      </w:rPr>
      <w:drawing>
        <wp:inline distT="0" distB="0" distL="0" distR="0" wp14:anchorId="7E84D159" wp14:editId="7343574B">
          <wp:extent cx="707209" cy="9663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742" cy="1008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C06E" w14:textId="77777777" w:rsidR="008F5556" w:rsidRDefault="008F5556" w:rsidP="00AD5CF3">
      <w:r>
        <w:separator/>
      </w:r>
    </w:p>
  </w:footnote>
  <w:footnote w:type="continuationSeparator" w:id="0">
    <w:p w14:paraId="2B729B51" w14:textId="77777777" w:rsidR="008F5556" w:rsidRDefault="008F5556" w:rsidP="00AD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463E5"/>
    <w:rsid w:val="000B7445"/>
    <w:rsid w:val="000F473F"/>
    <w:rsid w:val="00142A54"/>
    <w:rsid w:val="0015376A"/>
    <w:rsid w:val="001659F3"/>
    <w:rsid w:val="00175AB1"/>
    <w:rsid w:val="001950E6"/>
    <w:rsid w:val="001B468B"/>
    <w:rsid w:val="001D2D6C"/>
    <w:rsid w:val="001E468E"/>
    <w:rsid w:val="0024150E"/>
    <w:rsid w:val="00243607"/>
    <w:rsid w:val="002608E8"/>
    <w:rsid w:val="00281E9F"/>
    <w:rsid w:val="0029357B"/>
    <w:rsid w:val="002A194F"/>
    <w:rsid w:val="003204E5"/>
    <w:rsid w:val="00323B83"/>
    <w:rsid w:val="00340A06"/>
    <w:rsid w:val="00391557"/>
    <w:rsid w:val="00391ED2"/>
    <w:rsid w:val="00396998"/>
    <w:rsid w:val="003A6053"/>
    <w:rsid w:val="003C2A80"/>
    <w:rsid w:val="00404D55"/>
    <w:rsid w:val="00415A81"/>
    <w:rsid w:val="004231F4"/>
    <w:rsid w:val="00460B59"/>
    <w:rsid w:val="00460C43"/>
    <w:rsid w:val="00486046"/>
    <w:rsid w:val="004A026C"/>
    <w:rsid w:val="00576F33"/>
    <w:rsid w:val="005B2435"/>
    <w:rsid w:val="005D1253"/>
    <w:rsid w:val="005E016F"/>
    <w:rsid w:val="005E7B08"/>
    <w:rsid w:val="00662108"/>
    <w:rsid w:val="006969C7"/>
    <w:rsid w:val="0069753C"/>
    <w:rsid w:val="006B4016"/>
    <w:rsid w:val="006C0C53"/>
    <w:rsid w:val="006D41E1"/>
    <w:rsid w:val="006E49CC"/>
    <w:rsid w:val="007006BC"/>
    <w:rsid w:val="007351F9"/>
    <w:rsid w:val="007528D1"/>
    <w:rsid w:val="007B3EF4"/>
    <w:rsid w:val="007F476B"/>
    <w:rsid w:val="00817BF6"/>
    <w:rsid w:val="00834852"/>
    <w:rsid w:val="00837162"/>
    <w:rsid w:val="0084610A"/>
    <w:rsid w:val="00856F7F"/>
    <w:rsid w:val="00897B81"/>
    <w:rsid w:val="008C2037"/>
    <w:rsid w:val="008C5109"/>
    <w:rsid w:val="008F5556"/>
    <w:rsid w:val="0096034C"/>
    <w:rsid w:val="00995830"/>
    <w:rsid w:val="009A1265"/>
    <w:rsid w:val="009A247A"/>
    <w:rsid w:val="009C5FB3"/>
    <w:rsid w:val="009F5426"/>
    <w:rsid w:val="00A61BC2"/>
    <w:rsid w:val="00A707AE"/>
    <w:rsid w:val="00AB29D6"/>
    <w:rsid w:val="00AC7FCB"/>
    <w:rsid w:val="00AD0E5A"/>
    <w:rsid w:val="00AD5CF3"/>
    <w:rsid w:val="00AF420E"/>
    <w:rsid w:val="00B21758"/>
    <w:rsid w:val="00B27F06"/>
    <w:rsid w:val="00B31F6F"/>
    <w:rsid w:val="00B32457"/>
    <w:rsid w:val="00B3356D"/>
    <w:rsid w:val="00B4597B"/>
    <w:rsid w:val="00B6782D"/>
    <w:rsid w:val="00BF6647"/>
    <w:rsid w:val="00C10E7F"/>
    <w:rsid w:val="00CD3721"/>
    <w:rsid w:val="00D02AF5"/>
    <w:rsid w:val="00D13D7C"/>
    <w:rsid w:val="00D218C7"/>
    <w:rsid w:val="00D52BCD"/>
    <w:rsid w:val="00D56E4D"/>
    <w:rsid w:val="00DA278E"/>
    <w:rsid w:val="00DB7D9B"/>
    <w:rsid w:val="00DE10F4"/>
    <w:rsid w:val="00DE46FB"/>
    <w:rsid w:val="00E24C55"/>
    <w:rsid w:val="00E25346"/>
    <w:rsid w:val="00E370F3"/>
    <w:rsid w:val="00E80910"/>
    <w:rsid w:val="00E97D3B"/>
    <w:rsid w:val="00ED4CF2"/>
    <w:rsid w:val="00F07901"/>
    <w:rsid w:val="00F552F1"/>
    <w:rsid w:val="00F71767"/>
    <w:rsid w:val="00F93C10"/>
    <w:rsid w:val="00FA2BE2"/>
    <w:rsid w:val="00FB5541"/>
    <w:rsid w:val="00FD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8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7</cp:revision>
  <cp:lastPrinted>2017-03-27T13:21:00Z</cp:lastPrinted>
  <dcterms:created xsi:type="dcterms:W3CDTF">2018-08-09T13:32:00Z</dcterms:created>
  <dcterms:modified xsi:type="dcterms:W3CDTF">2018-08-16T13:05:00Z</dcterms:modified>
</cp:coreProperties>
</file>