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DF86" w14:textId="5A0DD1FC" w:rsidR="003204E5" w:rsidRPr="00CD142E" w:rsidRDefault="008C5109" w:rsidP="003204E5">
      <w:pPr>
        <w:jc w:val="center"/>
        <w:rPr>
          <w:rFonts w:ascii="Arial" w:hAnsi="Arial"/>
          <w:b/>
        </w:rPr>
      </w:pPr>
      <w:r>
        <w:rPr>
          <w:rFonts w:ascii="Arial" w:hAnsi="Arial"/>
          <w:b/>
        </w:rPr>
        <w:t>OHIO BALANCE OF STATE CONTINUUM OF CARE</w:t>
      </w:r>
    </w:p>
    <w:p w14:paraId="79BACF93" w14:textId="2D491F24" w:rsidR="003204E5" w:rsidRPr="00CD142E" w:rsidRDefault="005D1253" w:rsidP="003204E5">
      <w:pPr>
        <w:jc w:val="center"/>
        <w:rPr>
          <w:rFonts w:ascii="Arial" w:hAnsi="Arial"/>
          <w:b/>
        </w:rPr>
      </w:pPr>
      <w:proofErr w:type="spellStart"/>
      <w:r>
        <w:rPr>
          <w:rFonts w:ascii="Arial" w:hAnsi="Arial"/>
          <w:b/>
        </w:rPr>
        <w:t>CoC</w:t>
      </w:r>
      <w:proofErr w:type="spellEnd"/>
      <w:r>
        <w:rPr>
          <w:rFonts w:ascii="Arial" w:hAnsi="Arial"/>
          <w:b/>
        </w:rPr>
        <w:t xml:space="preserve"> Board</w:t>
      </w:r>
      <w:r w:rsidR="003204E5" w:rsidRPr="00CD142E">
        <w:rPr>
          <w:rFonts w:ascii="Arial" w:hAnsi="Arial"/>
          <w:b/>
        </w:rPr>
        <w:t xml:space="preserve"> Meeting</w:t>
      </w:r>
    </w:p>
    <w:p w14:paraId="0C5A84FC" w14:textId="77777777" w:rsidR="00AD5CF3" w:rsidRDefault="00AD5CF3" w:rsidP="00396998">
      <w:pPr>
        <w:jc w:val="center"/>
        <w:rPr>
          <w:rFonts w:ascii="Arial" w:hAnsi="Arial"/>
          <w:b/>
        </w:rPr>
      </w:pPr>
    </w:p>
    <w:p w14:paraId="67A06FF5" w14:textId="77777777" w:rsidR="003204E5" w:rsidRPr="00CD142E" w:rsidRDefault="003204E5" w:rsidP="003204E5">
      <w:pPr>
        <w:jc w:val="center"/>
        <w:rPr>
          <w:rFonts w:ascii="Arial" w:hAnsi="Arial"/>
          <w:b/>
        </w:rPr>
      </w:pPr>
    </w:p>
    <w:p w14:paraId="7D1BA637" w14:textId="6E534ECA" w:rsidR="00E24C55" w:rsidRPr="00662108" w:rsidRDefault="00AD5CF3" w:rsidP="00AD5CF3">
      <w:pPr>
        <w:rPr>
          <w:rFonts w:ascii="Arial" w:hAnsi="Arial"/>
          <w:b/>
          <w:u w:val="single"/>
        </w:rPr>
      </w:pPr>
      <w:r>
        <w:rPr>
          <w:rFonts w:ascii="Arial" w:hAnsi="Arial"/>
          <w:b/>
          <w:u w:val="single"/>
        </w:rPr>
        <w:t xml:space="preserve">MEETING </w:t>
      </w:r>
      <w:r w:rsidR="008C5109">
        <w:rPr>
          <w:rFonts w:ascii="Arial" w:hAnsi="Arial"/>
          <w:b/>
          <w:u w:val="single"/>
        </w:rPr>
        <w:t>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63689E">
        <w:rPr>
          <w:rFonts w:ascii="Arial" w:hAnsi="Arial"/>
          <w:b/>
          <w:u w:val="single"/>
        </w:rPr>
        <w:tab/>
      </w:r>
      <w:r w:rsidR="0063689E">
        <w:rPr>
          <w:rFonts w:ascii="Arial" w:hAnsi="Arial"/>
          <w:b/>
          <w:u w:val="single"/>
        </w:rPr>
        <w:tab/>
      </w:r>
      <w:r>
        <w:rPr>
          <w:rFonts w:ascii="Arial" w:hAnsi="Arial"/>
          <w:b/>
          <w:u w:val="single"/>
        </w:rPr>
        <w:tab/>
      </w:r>
    </w:p>
    <w:p w14:paraId="6E19E9D9" w14:textId="77777777" w:rsidR="00AD5CF3" w:rsidRDefault="00AD5CF3" w:rsidP="000463E5">
      <w:pPr>
        <w:tabs>
          <w:tab w:val="left" w:pos="5712"/>
        </w:tabs>
        <w:rPr>
          <w:rFonts w:ascii="Arial" w:hAnsi="Arial"/>
          <w:b/>
        </w:rPr>
      </w:pPr>
    </w:p>
    <w:p w14:paraId="185002C1" w14:textId="3E97D971" w:rsidR="008C5109" w:rsidRPr="00ED4CF2" w:rsidRDefault="008C5109" w:rsidP="008C5109">
      <w:pPr>
        <w:rPr>
          <w:rFonts w:ascii="Arial" w:hAnsi="Arial"/>
          <w:sz w:val="20"/>
          <w:szCs w:val="20"/>
        </w:rPr>
      </w:pPr>
      <w:r w:rsidRPr="008C5109">
        <w:rPr>
          <w:rFonts w:ascii="Arial" w:hAnsi="Arial"/>
          <w:b/>
          <w:sz w:val="20"/>
          <w:szCs w:val="20"/>
        </w:rPr>
        <w:t>Date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3C2A80">
        <w:rPr>
          <w:rFonts w:ascii="Arial" w:hAnsi="Arial"/>
          <w:sz w:val="20"/>
          <w:szCs w:val="20"/>
        </w:rPr>
        <w:t>Wednesday, June 27, 2018</w:t>
      </w:r>
    </w:p>
    <w:p w14:paraId="50865E89" w14:textId="3ED01AD3" w:rsidR="008C5109" w:rsidRPr="00ED4CF2" w:rsidRDefault="008C5109" w:rsidP="008C5109">
      <w:pPr>
        <w:rPr>
          <w:rFonts w:ascii="Arial" w:hAnsi="Arial"/>
          <w:sz w:val="20"/>
          <w:szCs w:val="20"/>
        </w:rPr>
      </w:pPr>
      <w:r w:rsidRPr="008C5109">
        <w:rPr>
          <w:rFonts w:ascii="Arial" w:hAnsi="Arial"/>
          <w:b/>
          <w:sz w:val="20"/>
          <w:szCs w:val="20"/>
        </w:rPr>
        <w:t>Time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5B2435">
        <w:rPr>
          <w:rFonts w:ascii="Arial" w:hAnsi="Arial"/>
          <w:sz w:val="20"/>
          <w:szCs w:val="20"/>
        </w:rPr>
        <w:t>10:00am</w:t>
      </w:r>
    </w:p>
    <w:p w14:paraId="7845AC37" w14:textId="706F0D05" w:rsidR="008C5109" w:rsidRDefault="008C5109" w:rsidP="008C5109">
      <w:pPr>
        <w:rPr>
          <w:rFonts w:ascii="Arial" w:hAnsi="Arial"/>
          <w:sz w:val="20"/>
          <w:szCs w:val="20"/>
        </w:rPr>
      </w:pPr>
      <w:r>
        <w:rPr>
          <w:rFonts w:ascii="Arial" w:hAnsi="Arial"/>
          <w:b/>
          <w:sz w:val="20"/>
          <w:szCs w:val="20"/>
        </w:rPr>
        <w:t>Location:</w:t>
      </w:r>
      <w:r w:rsidR="00ED4CF2">
        <w:rPr>
          <w:rFonts w:ascii="Arial" w:hAnsi="Arial"/>
          <w:b/>
          <w:sz w:val="20"/>
          <w:szCs w:val="20"/>
        </w:rPr>
        <w:tab/>
      </w:r>
      <w:r w:rsidR="00ED4CF2" w:rsidRPr="00ED4CF2">
        <w:rPr>
          <w:rFonts w:ascii="Arial" w:hAnsi="Arial"/>
          <w:sz w:val="20"/>
          <w:szCs w:val="20"/>
        </w:rPr>
        <w:t>Webinar</w:t>
      </w:r>
      <w:r w:rsidR="00404D55">
        <w:rPr>
          <w:rFonts w:ascii="Arial" w:hAnsi="Arial"/>
          <w:sz w:val="20"/>
          <w:szCs w:val="20"/>
        </w:rPr>
        <w:t xml:space="preserve"> and conference call </w:t>
      </w:r>
    </w:p>
    <w:p w14:paraId="5241DC27" w14:textId="43A799A9" w:rsidR="00C64360" w:rsidRDefault="00C64360" w:rsidP="008C5109">
      <w:pPr>
        <w:rPr>
          <w:rFonts w:ascii="Arial" w:hAnsi="Arial"/>
          <w:b/>
          <w:sz w:val="20"/>
          <w:szCs w:val="20"/>
        </w:rPr>
      </w:pPr>
      <w:r w:rsidRPr="00C64360">
        <w:rPr>
          <w:rFonts w:ascii="Arial" w:hAnsi="Arial"/>
          <w:b/>
          <w:sz w:val="20"/>
          <w:szCs w:val="20"/>
        </w:rPr>
        <w:t>Attendees:</w:t>
      </w:r>
    </w:p>
    <w:p w14:paraId="0FBECBE7" w14:textId="77777777" w:rsidR="00C64360" w:rsidRDefault="00C64360" w:rsidP="008C5109">
      <w:pPr>
        <w:rPr>
          <w:rFonts w:ascii="Arial" w:hAnsi="Arial"/>
          <w:b/>
          <w:sz w:val="20"/>
          <w:szCs w:val="20"/>
        </w:rPr>
      </w:pPr>
    </w:p>
    <w:tbl>
      <w:tblPr>
        <w:tblStyle w:val="TableGrid"/>
        <w:tblW w:w="0" w:type="auto"/>
        <w:jc w:val="center"/>
        <w:tblLook w:val="04A0" w:firstRow="1" w:lastRow="0" w:firstColumn="1" w:lastColumn="0" w:noHBand="0" w:noVBand="1"/>
      </w:tblPr>
      <w:tblGrid>
        <w:gridCol w:w="1435"/>
        <w:gridCol w:w="2144"/>
        <w:gridCol w:w="1574"/>
        <w:gridCol w:w="1752"/>
        <w:gridCol w:w="1414"/>
        <w:gridCol w:w="1892"/>
      </w:tblGrid>
      <w:tr w:rsidR="00C64360" w:rsidRPr="003B1F98" w14:paraId="5A915827" w14:textId="77777777" w:rsidTr="0063689E">
        <w:trPr>
          <w:jc w:val="center"/>
        </w:trPr>
        <w:tc>
          <w:tcPr>
            <w:tcW w:w="1435" w:type="dxa"/>
          </w:tcPr>
          <w:p w14:paraId="3040B5E1"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w:t>
            </w:r>
          </w:p>
        </w:tc>
        <w:tc>
          <w:tcPr>
            <w:tcW w:w="2144" w:type="dxa"/>
          </w:tcPr>
          <w:p w14:paraId="3D8E50EE" w14:textId="1B68F98E"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574" w:type="dxa"/>
          </w:tcPr>
          <w:p w14:paraId="17C38C49"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7</w:t>
            </w:r>
          </w:p>
        </w:tc>
        <w:tc>
          <w:tcPr>
            <w:tcW w:w="1752" w:type="dxa"/>
          </w:tcPr>
          <w:p w14:paraId="43E98D7C"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414" w:type="dxa"/>
          </w:tcPr>
          <w:p w14:paraId="71E59407"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13</w:t>
            </w:r>
          </w:p>
        </w:tc>
        <w:tc>
          <w:tcPr>
            <w:tcW w:w="1892" w:type="dxa"/>
          </w:tcPr>
          <w:p w14:paraId="0F6CC369" w14:textId="0EF56D40"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r>
      <w:tr w:rsidR="00C64360" w:rsidRPr="003B1F98" w14:paraId="7F7A1987" w14:textId="77777777" w:rsidTr="0063689E">
        <w:trPr>
          <w:jc w:val="center"/>
        </w:trPr>
        <w:tc>
          <w:tcPr>
            <w:tcW w:w="1435" w:type="dxa"/>
          </w:tcPr>
          <w:p w14:paraId="14EFB52D"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2</w:t>
            </w:r>
          </w:p>
        </w:tc>
        <w:tc>
          <w:tcPr>
            <w:tcW w:w="2144" w:type="dxa"/>
          </w:tcPr>
          <w:p w14:paraId="4B062D21"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574" w:type="dxa"/>
          </w:tcPr>
          <w:p w14:paraId="46FE2427"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8</w:t>
            </w:r>
          </w:p>
        </w:tc>
        <w:tc>
          <w:tcPr>
            <w:tcW w:w="1752" w:type="dxa"/>
          </w:tcPr>
          <w:p w14:paraId="1EBDCBDB" w14:textId="1AC57F6B" w:rsidR="00C64360" w:rsidRPr="00C64360" w:rsidRDefault="00C64360" w:rsidP="000349DD">
            <w:pPr>
              <w:tabs>
                <w:tab w:val="left" w:pos="5712"/>
              </w:tabs>
              <w:rPr>
                <w:rFonts w:ascii="Arial" w:hAnsi="Arial" w:cs="Arial"/>
                <w:sz w:val="20"/>
                <w:szCs w:val="20"/>
              </w:rPr>
            </w:pPr>
            <w:r>
              <w:rPr>
                <w:rFonts w:ascii="Arial" w:hAnsi="Arial" w:cs="Arial"/>
                <w:color w:val="000000" w:themeColor="text1"/>
                <w:sz w:val="20"/>
                <w:szCs w:val="20"/>
              </w:rPr>
              <w:t>Dawn Rauch</w:t>
            </w:r>
          </w:p>
        </w:tc>
        <w:tc>
          <w:tcPr>
            <w:tcW w:w="1414" w:type="dxa"/>
          </w:tcPr>
          <w:p w14:paraId="7242424F"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14</w:t>
            </w:r>
          </w:p>
        </w:tc>
        <w:tc>
          <w:tcPr>
            <w:tcW w:w="1892" w:type="dxa"/>
          </w:tcPr>
          <w:p w14:paraId="72F6C1EA"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r>
      <w:tr w:rsidR="00C64360" w:rsidRPr="003B1F98" w14:paraId="1ACD361F" w14:textId="77777777" w:rsidTr="0063689E">
        <w:trPr>
          <w:jc w:val="center"/>
        </w:trPr>
        <w:tc>
          <w:tcPr>
            <w:tcW w:w="1435" w:type="dxa"/>
          </w:tcPr>
          <w:p w14:paraId="0A324310"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3</w:t>
            </w:r>
          </w:p>
        </w:tc>
        <w:tc>
          <w:tcPr>
            <w:tcW w:w="2144" w:type="dxa"/>
          </w:tcPr>
          <w:p w14:paraId="45436965"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574" w:type="dxa"/>
          </w:tcPr>
          <w:p w14:paraId="462F2474"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9</w:t>
            </w:r>
          </w:p>
        </w:tc>
        <w:tc>
          <w:tcPr>
            <w:tcW w:w="1752" w:type="dxa"/>
          </w:tcPr>
          <w:p w14:paraId="19964B09" w14:textId="77777777" w:rsidR="00C64360" w:rsidRPr="00C64360" w:rsidRDefault="00C64360" w:rsidP="000349DD">
            <w:pPr>
              <w:rPr>
                <w:rFonts w:ascii="Arial" w:hAnsi="Arial" w:cs="Arial"/>
                <w:sz w:val="20"/>
                <w:szCs w:val="20"/>
              </w:rPr>
            </w:pPr>
            <w:r w:rsidRPr="00C64360">
              <w:rPr>
                <w:rFonts w:ascii="Arial" w:hAnsi="Arial" w:cs="Arial"/>
                <w:sz w:val="20"/>
                <w:szCs w:val="20"/>
              </w:rPr>
              <w:t xml:space="preserve">Deb </w:t>
            </w:r>
            <w:proofErr w:type="spellStart"/>
            <w:r w:rsidRPr="00C64360">
              <w:rPr>
                <w:rFonts w:ascii="Arial" w:hAnsi="Arial" w:cs="Arial"/>
                <w:sz w:val="20"/>
                <w:szCs w:val="20"/>
              </w:rPr>
              <w:t>Tegtmeyer</w:t>
            </w:r>
            <w:proofErr w:type="spellEnd"/>
          </w:p>
        </w:tc>
        <w:tc>
          <w:tcPr>
            <w:tcW w:w="1414" w:type="dxa"/>
          </w:tcPr>
          <w:p w14:paraId="35C96A64"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15</w:t>
            </w:r>
          </w:p>
        </w:tc>
        <w:tc>
          <w:tcPr>
            <w:tcW w:w="1892" w:type="dxa"/>
          </w:tcPr>
          <w:p w14:paraId="0B035B2B" w14:textId="02A5DC8D" w:rsidR="00C64360" w:rsidRPr="00C64360" w:rsidRDefault="00C64360" w:rsidP="000349DD">
            <w:pPr>
              <w:rPr>
                <w:rFonts w:ascii="Arial" w:hAnsi="Arial" w:cs="Arial"/>
                <w:sz w:val="20"/>
                <w:szCs w:val="20"/>
              </w:rPr>
            </w:pPr>
            <w:r>
              <w:rPr>
                <w:rFonts w:ascii="Arial" w:hAnsi="Arial" w:cs="Arial"/>
                <w:color w:val="000000" w:themeColor="text1"/>
                <w:sz w:val="20"/>
                <w:szCs w:val="20"/>
              </w:rPr>
              <w:t>Elaina Bradley</w:t>
            </w:r>
          </w:p>
        </w:tc>
      </w:tr>
      <w:tr w:rsidR="00C64360" w:rsidRPr="003B1F98" w14:paraId="58006761" w14:textId="77777777" w:rsidTr="0063689E">
        <w:trPr>
          <w:trHeight w:val="279"/>
          <w:jc w:val="center"/>
        </w:trPr>
        <w:tc>
          <w:tcPr>
            <w:tcW w:w="1435" w:type="dxa"/>
          </w:tcPr>
          <w:p w14:paraId="4DA21143"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4</w:t>
            </w:r>
          </w:p>
        </w:tc>
        <w:tc>
          <w:tcPr>
            <w:tcW w:w="2144" w:type="dxa"/>
          </w:tcPr>
          <w:p w14:paraId="5D7D148D" w14:textId="77777777" w:rsidR="00C64360" w:rsidRPr="00C64360" w:rsidRDefault="00C64360" w:rsidP="000349DD">
            <w:pPr>
              <w:rPr>
                <w:rFonts w:ascii="Arial" w:hAnsi="Arial" w:cs="Arial"/>
                <w:sz w:val="20"/>
                <w:szCs w:val="20"/>
              </w:rPr>
            </w:pPr>
            <w:r w:rsidRPr="00C64360">
              <w:rPr>
                <w:rFonts w:ascii="Arial" w:hAnsi="Arial" w:cs="Arial"/>
                <w:color w:val="000000" w:themeColor="text1"/>
                <w:sz w:val="20"/>
                <w:szCs w:val="20"/>
              </w:rPr>
              <w:t xml:space="preserve">Debbie </w:t>
            </w:r>
            <w:proofErr w:type="spellStart"/>
            <w:r w:rsidRPr="00C64360">
              <w:rPr>
                <w:rFonts w:ascii="Arial" w:hAnsi="Arial" w:cs="Arial"/>
                <w:color w:val="000000" w:themeColor="text1"/>
                <w:sz w:val="20"/>
                <w:szCs w:val="20"/>
              </w:rPr>
              <w:t>Kubena-Yatsko</w:t>
            </w:r>
            <w:proofErr w:type="spellEnd"/>
          </w:p>
        </w:tc>
        <w:tc>
          <w:tcPr>
            <w:tcW w:w="1574" w:type="dxa"/>
          </w:tcPr>
          <w:p w14:paraId="228A3D91"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10</w:t>
            </w:r>
          </w:p>
        </w:tc>
        <w:tc>
          <w:tcPr>
            <w:tcW w:w="1752" w:type="dxa"/>
          </w:tcPr>
          <w:p w14:paraId="2C689D13" w14:textId="4F17D60D" w:rsidR="00C64360" w:rsidRPr="00C64360" w:rsidRDefault="00C64360" w:rsidP="000349DD">
            <w:pPr>
              <w:rPr>
                <w:rFonts w:ascii="Arial" w:hAnsi="Arial" w:cs="Arial"/>
                <w:sz w:val="20"/>
                <w:szCs w:val="20"/>
              </w:rPr>
            </w:pPr>
            <w:r w:rsidRPr="00C64360">
              <w:rPr>
                <w:rFonts w:ascii="Arial" w:hAnsi="Arial" w:cs="Arial"/>
                <w:color w:val="000000" w:themeColor="text1"/>
                <w:sz w:val="20"/>
                <w:szCs w:val="20"/>
              </w:rPr>
              <w:t>absent</w:t>
            </w:r>
          </w:p>
        </w:tc>
        <w:tc>
          <w:tcPr>
            <w:tcW w:w="1414" w:type="dxa"/>
          </w:tcPr>
          <w:p w14:paraId="445E9AA0"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16</w:t>
            </w:r>
          </w:p>
        </w:tc>
        <w:tc>
          <w:tcPr>
            <w:tcW w:w="1892" w:type="dxa"/>
          </w:tcPr>
          <w:p w14:paraId="7C5EB2DB" w14:textId="77777777" w:rsidR="00C64360" w:rsidRPr="00C64360" w:rsidRDefault="00C64360" w:rsidP="000349DD">
            <w:pPr>
              <w:tabs>
                <w:tab w:val="left" w:pos="5712"/>
              </w:tabs>
              <w:rPr>
                <w:rFonts w:ascii="Arial" w:hAnsi="Arial" w:cs="Arial"/>
                <w:sz w:val="20"/>
                <w:szCs w:val="20"/>
              </w:rPr>
            </w:pPr>
            <w:r w:rsidRPr="00C64360">
              <w:rPr>
                <w:rFonts w:ascii="Arial" w:hAnsi="Arial" w:cs="Arial"/>
                <w:sz w:val="20"/>
                <w:szCs w:val="20"/>
              </w:rPr>
              <w:t xml:space="preserve">Bambi </w:t>
            </w:r>
            <w:proofErr w:type="spellStart"/>
            <w:r w:rsidRPr="00C64360">
              <w:rPr>
                <w:rFonts w:ascii="Arial" w:hAnsi="Arial" w:cs="Arial"/>
                <w:sz w:val="20"/>
                <w:szCs w:val="20"/>
              </w:rPr>
              <w:t>Baughn</w:t>
            </w:r>
            <w:proofErr w:type="spellEnd"/>
          </w:p>
        </w:tc>
      </w:tr>
      <w:tr w:rsidR="00C64360" w:rsidRPr="003B1F98" w14:paraId="128AFED9" w14:textId="77777777" w:rsidTr="0063689E">
        <w:trPr>
          <w:jc w:val="center"/>
        </w:trPr>
        <w:tc>
          <w:tcPr>
            <w:tcW w:w="1435" w:type="dxa"/>
          </w:tcPr>
          <w:p w14:paraId="228ADCC4"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5</w:t>
            </w:r>
          </w:p>
        </w:tc>
        <w:tc>
          <w:tcPr>
            <w:tcW w:w="2144" w:type="dxa"/>
          </w:tcPr>
          <w:p w14:paraId="44440D97"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Tammy Weaver</w:t>
            </w:r>
          </w:p>
        </w:tc>
        <w:tc>
          <w:tcPr>
            <w:tcW w:w="1574" w:type="dxa"/>
          </w:tcPr>
          <w:p w14:paraId="01CA3127"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11</w:t>
            </w:r>
          </w:p>
        </w:tc>
        <w:tc>
          <w:tcPr>
            <w:tcW w:w="1752" w:type="dxa"/>
          </w:tcPr>
          <w:p w14:paraId="44CC49BC" w14:textId="77777777" w:rsidR="00C64360" w:rsidRPr="00C64360" w:rsidRDefault="00C64360" w:rsidP="000349DD">
            <w:pPr>
              <w:tabs>
                <w:tab w:val="left" w:pos="5712"/>
              </w:tabs>
              <w:rPr>
                <w:rFonts w:ascii="Arial" w:hAnsi="Arial" w:cs="Arial"/>
                <w:sz w:val="20"/>
                <w:szCs w:val="20"/>
              </w:rPr>
            </w:pPr>
            <w:r w:rsidRPr="00C64360">
              <w:rPr>
                <w:rFonts w:ascii="Arial" w:hAnsi="Arial" w:cs="Arial"/>
                <w:sz w:val="20"/>
                <w:szCs w:val="20"/>
              </w:rPr>
              <w:t xml:space="preserve">Chuck </w:t>
            </w:r>
            <w:proofErr w:type="spellStart"/>
            <w:r w:rsidRPr="00C64360">
              <w:rPr>
                <w:rFonts w:ascii="Arial" w:hAnsi="Arial" w:cs="Arial"/>
                <w:sz w:val="20"/>
                <w:szCs w:val="20"/>
              </w:rPr>
              <w:t>Bulick</w:t>
            </w:r>
            <w:proofErr w:type="spellEnd"/>
          </w:p>
        </w:tc>
        <w:tc>
          <w:tcPr>
            <w:tcW w:w="1414" w:type="dxa"/>
          </w:tcPr>
          <w:p w14:paraId="6C357D59"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17</w:t>
            </w:r>
          </w:p>
        </w:tc>
        <w:tc>
          <w:tcPr>
            <w:tcW w:w="1892" w:type="dxa"/>
          </w:tcPr>
          <w:p w14:paraId="5B16BE2F"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Heather Hall</w:t>
            </w:r>
          </w:p>
        </w:tc>
      </w:tr>
      <w:tr w:rsidR="00C64360" w:rsidRPr="003B1F98" w14:paraId="31BE2D84" w14:textId="77777777" w:rsidTr="0063689E">
        <w:trPr>
          <w:jc w:val="center"/>
        </w:trPr>
        <w:tc>
          <w:tcPr>
            <w:tcW w:w="1435" w:type="dxa"/>
          </w:tcPr>
          <w:p w14:paraId="795F8247"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6</w:t>
            </w:r>
          </w:p>
        </w:tc>
        <w:tc>
          <w:tcPr>
            <w:tcW w:w="2144" w:type="dxa"/>
          </w:tcPr>
          <w:p w14:paraId="6015C784" w14:textId="50C406A3" w:rsidR="00C64360" w:rsidRPr="00C64360" w:rsidRDefault="00C64360" w:rsidP="000349DD">
            <w:pPr>
              <w:tabs>
                <w:tab w:val="left" w:pos="5712"/>
              </w:tabs>
              <w:rPr>
                <w:rFonts w:ascii="Arial" w:hAnsi="Arial" w:cs="Arial"/>
                <w:sz w:val="20"/>
                <w:szCs w:val="20"/>
              </w:rPr>
            </w:pPr>
            <w:r>
              <w:rPr>
                <w:rFonts w:ascii="Arial" w:hAnsi="Arial" w:cs="Arial"/>
                <w:color w:val="000000" w:themeColor="text1"/>
                <w:sz w:val="20"/>
                <w:szCs w:val="20"/>
              </w:rPr>
              <w:t xml:space="preserve">Tami </w:t>
            </w:r>
            <w:proofErr w:type="spellStart"/>
            <w:r>
              <w:rPr>
                <w:rFonts w:ascii="Arial" w:hAnsi="Arial" w:cs="Arial"/>
                <w:color w:val="000000" w:themeColor="text1"/>
                <w:sz w:val="20"/>
                <w:szCs w:val="20"/>
              </w:rPr>
              <w:t>Plunkeet</w:t>
            </w:r>
            <w:proofErr w:type="spellEnd"/>
            <w:r>
              <w:rPr>
                <w:rFonts w:ascii="Arial" w:hAnsi="Arial" w:cs="Arial"/>
                <w:color w:val="000000" w:themeColor="text1"/>
                <w:sz w:val="20"/>
                <w:szCs w:val="20"/>
              </w:rPr>
              <w:t>, proxy</w:t>
            </w:r>
          </w:p>
        </w:tc>
        <w:tc>
          <w:tcPr>
            <w:tcW w:w="1574" w:type="dxa"/>
          </w:tcPr>
          <w:p w14:paraId="3E93F82F"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Region 12</w:t>
            </w:r>
          </w:p>
        </w:tc>
        <w:tc>
          <w:tcPr>
            <w:tcW w:w="1752" w:type="dxa"/>
          </w:tcPr>
          <w:p w14:paraId="4DA4E5C3" w14:textId="01DDE131"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414" w:type="dxa"/>
          </w:tcPr>
          <w:p w14:paraId="4A0F36A4" w14:textId="77777777" w:rsidR="00C64360" w:rsidRPr="00C64360" w:rsidRDefault="00C64360" w:rsidP="000349DD">
            <w:pPr>
              <w:tabs>
                <w:tab w:val="left" w:pos="5712"/>
              </w:tabs>
              <w:rPr>
                <w:rFonts w:ascii="Arial" w:hAnsi="Arial" w:cs="Arial"/>
                <w:b/>
                <w:color w:val="FF0000"/>
                <w:sz w:val="20"/>
                <w:szCs w:val="20"/>
              </w:rPr>
            </w:pPr>
          </w:p>
        </w:tc>
        <w:tc>
          <w:tcPr>
            <w:tcW w:w="1892" w:type="dxa"/>
          </w:tcPr>
          <w:p w14:paraId="44B01263" w14:textId="77777777" w:rsidR="00C64360" w:rsidRPr="00C64360" w:rsidRDefault="00C64360" w:rsidP="000349DD">
            <w:pPr>
              <w:tabs>
                <w:tab w:val="left" w:pos="5712"/>
              </w:tabs>
              <w:rPr>
                <w:rFonts w:ascii="Arial" w:hAnsi="Arial" w:cs="Arial"/>
                <w:color w:val="FF0000"/>
                <w:sz w:val="20"/>
                <w:szCs w:val="20"/>
              </w:rPr>
            </w:pPr>
          </w:p>
        </w:tc>
      </w:tr>
      <w:tr w:rsidR="00C64360" w:rsidRPr="003B1F98" w14:paraId="715C75A7" w14:textId="77777777" w:rsidTr="0063689E">
        <w:trPr>
          <w:jc w:val="center"/>
        </w:trPr>
        <w:tc>
          <w:tcPr>
            <w:tcW w:w="1435" w:type="dxa"/>
          </w:tcPr>
          <w:p w14:paraId="67E4FAB7"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 – Large VA</w:t>
            </w:r>
          </w:p>
        </w:tc>
        <w:tc>
          <w:tcPr>
            <w:tcW w:w="2144" w:type="dxa"/>
          </w:tcPr>
          <w:p w14:paraId="56732F8C" w14:textId="77777777" w:rsidR="00C64360" w:rsidRPr="00C64360" w:rsidRDefault="00C64360" w:rsidP="000349DD">
            <w:pPr>
              <w:tabs>
                <w:tab w:val="left" w:pos="5712"/>
              </w:tabs>
              <w:rPr>
                <w:rFonts w:ascii="Arial" w:hAnsi="Arial" w:cs="Arial"/>
                <w:sz w:val="20"/>
                <w:szCs w:val="20"/>
              </w:rPr>
            </w:pPr>
            <w:r w:rsidRPr="00C64360">
              <w:rPr>
                <w:rFonts w:ascii="Arial" w:hAnsi="Arial" w:cs="Arial"/>
                <w:sz w:val="20"/>
                <w:szCs w:val="20"/>
              </w:rPr>
              <w:t>absent</w:t>
            </w:r>
          </w:p>
        </w:tc>
        <w:tc>
          <w:tcPr>
            <w:tcW w:w="1574" w:type="dxa"/>
          </w:tcPr>
          <w:p w14:paraId="1BF3EB5F"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At-Large Youth Provider</w:t>
            </w:r>
          </w:p>
        </w:tc>
        <w:tc>
          <w:tcPr>
            <w:tcW w:w="1752" w:type="dxa"/>
          </w:tcPr>
          <w:p w14:paraId="7799695C" w14:textId="26BAAE46" w:rsidR="00C64360" w:rsidRPr="00C64360" w:rsidRDefault="00C64360" w:rsidP="000349DD">
            <w:pPr>
              <w:tabs>
                <w:tab w:val="left" w:pos="5712"/>
              </w:tabs>
              <w:rPr>
                <w:rFonts w:ascii="Arial" w:hAnsi="Arial" w:cs="Arial"/>
                <w:sz w:val="20"/>
                <w:szCs w:val="20"/>
              </w:rPr>
            </w:pPr>
            <w:r>
              <w:rPr>
                <w:rFonts w:ascii="Arial" w:hAnsi="Arial" w:cs="Arial"/>
                <w:color w:val="000000" w:themeColor="text1"/>
                <w:sz w:val="20"/>
                <w:szCs w:val="20"/>
              </w:rPr>
              <w:t>Fallon Kingery</w:t>
            </w:r>
          </w:p>
        </w:tc>
        <w:tc>
          <w:tcPr>
            <w:tcW w:w="1414" w:type="dxa"/>
          </w:tcPr>
          <w:p w14:paraId="536BE40F"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At-Large CSH</w:t>
            </w:r>
          </w:p>
        </w:tc>
        <w:tc>
          <w:tcPr>
            <w:tcW w:w="1892" w:type="dxa"/>
          </w:tcPr>
          <w:p w14:paraId="6D18F42E" w14:textId="54FCF84A"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r>
      <w:tr w:rsidR="00C64360" w:rsidRPr="003B1F98" w14:paraId="7C1EF6D3" w14:textId="77777777" w:rsidTr="0063689E">
        <w:trPr>
          <w:jc w:val="center"/>
        </w:trPr>
        <w:tc>
          <w:tcPr>
            <w:tcW w:w="1435" w:type="dxa"/>
          </w:tcPr>
          <w:p w14:paraId="031A8C12"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 – Large DV</w:t>
            </w:r>
          </w:p>
        </w:tc>
        <w:tc>
          <w:tcPr>
            <w:tcW w:w="2144" w:type="dxa"/>
          </w:tcPr>
          <w:p w14:paraId="2C7C4085" w14:textId="77777777" w:rsidR="00C64360" w:rsidRPr="00C64360" w:rsidRDefault="00C64360" w:rsidP="000349DD">
            <w:pPr>
              <w:tabs>
                <w:tab w:val="left" w:pos="5712"/>
              </w:tabs>
              <w:rPr>
                <w:rFonts w:ascii="Arial" w:hAnsi="Arial" w:cs="Arial"/>
                <w:sz w:val="20"/>
                <w:szCs w:val="20"/>
              </w:rPr>
            </w:pPr>
            <w:r w:rsidRPr="00C64360">
              <w:rPr>
                <w:rFonts w:ascii="Arial" w:hAnsi="Arial" w:cs="Arial"/>
                <w:sz w:val="20"/>
                <w:szCs w:val="20"/>
              </w:rPr>
              <w:t>absent</w:t>
            </w:r>
          </w:p>
        </w:tc>
        <w:tc>
          <w:tcPr>
            <w:tcW w:w="1574" w:type="dxa"/>
          </w:tcPr>
          <w:p w14:paraId="35C3E7B7"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At-Large OHFA</w:t>
            </w:r>
          </w:p>
        </w:tc>
        <w:tc>
          <w:tcPr>
            <w:tcW w:w="1752" w:type="dxa"/>
          </w:tcPr>
          <w:p w14:paraId="379D2734"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414" w:type="dxa"/>
          </w:tcPr>
          <w:p w14:paraId="22F5D9EC"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 – Large OCCH</w:t>
            </w:r>
          </w:p>
        </w:tc>
        <w:tc>
          <w:tcPr>
            <w:tcW w:w="1892" w:type="dxa"/>
          </w:tcPr>
          <w:p w14:paraId="4CB5F904"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Beth Long</w:t>
            </w:r>
          </w:p>
        </w:tc>
      </w:tr>
      <w:tr w:rsidR="00C64360" w:rsidRPr="003B1F98" w14:paraId="23220C0C" w14:textId="77777777" w:rsidTr="0063689E">
        <w:trPr>
          <w:jc w:val="center"/>
        </w:trPr>
        <w:tc>
          <w:tcPr>
            <w:tcW w:w="1435" w:type="dxa"/>
          </w:tcPr>
          <w:p w14:paraId="4AEFFDD4"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At-Large Mental Health</w:t>
            </w:r>
          </w:p>
        </w:tc>
        <w:tc>
          <w:tcPr>
            <w:tcW w:w="2144" w:type="dxa"/>
          </w:tcPr>
          <w:p w14:paraId="73E98D8C" w14:textId="73DB2063"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574" w:type="dxa"/>
          </w:tcPr>
          <w:p w14:paraId="61E82466" w14:textId="77777777" w:rsidR="00C64360" w:rsidRPr="00C64360" w:rsidRDefault="00C64360" w:rsidP="000349DD">
            <w:pPr>
              <w:tabs>
                <w:tab w:val="left" w:pos="5712"/>
              </w:tabs>
              <w:rPr>
                <w:rFonts w:ascii="Arial" w:hAnsi="Arial" w:cs="Arial"/>
                <w:sz w:val="20"/>
                <w:szCs w:val="20"/>
              </w:rPr>
            </w:pPr>
            <w:r w:rsidRPr="00C64360">
              <w:rPr>
                <w:rFonts w:ascii="Arial" w:hAnsi="Arial" w:cs="Arial"/>
                <w:b/>
                <w:sz w:val="20"/>
                <w:szCs w:val="20"/>
              </w:rPr>
              <w:t>At-Large Housing Authority/PSH</w:t>
            </w:r>
          </w:p>
        </w:tc>
        <w:tc>
          <w:tcPr>
            <w:tcW w:w="1752" w:type="dxa"/>
          </w:tcPr>
          <w:p w14:paraId="21C956AA" w14:textId="40E3790F" w:rsidR="00C64360" w:rsidRPr="00C64360" w:rsidRDefault="00C64360" w:rsidP="000349DD">
            <w:pPr>
              <w:tabs>
                <w:tab w:val="left" w:pos="5712"/>
              </w:tabs>
              <w:rPr>
                <w:rFonts w:ascii="Arial" w:hAnsi="Arial" w:cs="Arial"/>
                <w:sz w:val="20"/>
                <w:szCs w:val="20"/>
              </w:rPr>
            </w:pPr>
            <w:r>
              <w:rPr>
                <w:rFonts w:ascii="Arial" w:hAnsi="Arial" w:cs="Arial"/>
                <w:color w:val="000000" w:themeColor="text1"/>
                <w:sz w:val="20"/>
                <w:szCs w:val="20"/>
              </w:rPr>
              <w:t xml:space="preserve">Nathan </w:t>
            </w:r>
            <w:proofErr w:type="spellStart"/>
            <w:r>
              <w:rPr>
                <w:rFonts w:ascii="Arial" w:hAnsi="Arial" w:cs="Arial"/>
                <w:color w:val="000000" w:themeColor="text1"/>
                <w:sz w:val="20"/>
                <w:szCs w:val="20"/>
              </w:rPr>
              <w:t>Blatchley</w:t>
            </w:r>
            <w:proofErr w:type="spellEnd"/>
          </w:p>
        </w:tc>
        <w:tc>
          <w:tcPr>
            <w:tcW w:w="1414" w:type="dxa"/>
          </w:tcPr>
          <w:p w14:paraId="440E8A07"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At-Large PSH</w:t>
            </w:r>
          </w:p>
        </w:tc>
        <w:tc>
          <w:tcPr>
            <w:tcW w:w="1892" w:type="dxa"/>
          </w:tcPr>
          <w:p w14:paraId="7CD21950" w14:textId="084DDA92"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r>
      <w:tr w:rsidR="00C64360" w:rsidRPr="003B1F98" w14:paraId="7C8B471A" w14:textId="77777777" w:rsidTr="0063689E">
        <w:trPr>
          <w:trHeight w:val="269"/>
          <w:jc w:val="center"/>
        </w:trPr>
        <w:tc>
          <w:tcPr>
            <w:tcW w:w="1435" w:type="dxa"/>
          </w:tcPr>
          <w:p w14:paraId="6C34F71B"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At-Large</w:t>
            </w:r>
          </w:p>
        </w:tc>
        <w:tc>
          <w:tcPr>
            <w:tcW w:w="2144" w:type="dxa"/>
          </w:tcPr>
          <w:p w14:paraId="46F8C357" w14:textId="3072A5E5"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574" w:type="dxa"/>
          </w:tcPr>
          <w:p w14:paraId="506AB63F"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At-Large/MH Board</w:t>
            </w:r>
          </w:p>
        </w:tc>
        <w:tc>
          <w:tcPr>
            <w:tcW w:w="1752" w:type="dxa"/>
          </w:tcPr>
          <w:p w14:paraId="28DE8054" w14:textId="77777777"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Holly Cundiff</w:t>
            </w:r>
          </w:p>
        </w:tc>
        <w:tc>
          <w:tcPr>
            <w:tcW w:w="1414" w:type="dxa"/>
          </w:tcPr>
          <w:p w14:paraId="7AEDF080" w14:textId="77777777" w:rsidR="00C64360" w:rsidRPr="00C64360" w:rsidRDefault="00C64360" w:rsidP="000349DD">
            <w:pPr>
              <w:tabs>
                <w:tab w:val="left" w:pos="5712"/>
              </w:tabs>
              <w:rPr>
                <w:rFonts w:ascii="Arial" w:hAnsi="Arial" w:cs="Arial"/>
                <w:b/>
                <w:sz w:val="20"/>
                <w:szCs w:val="20"/>
              </w:rPr>
            </w:pPr>
          </w:p>
        </w:tc>
        <w:tc>
          <w:tcPr>
            <w:tcW w:w="1892" w:type="dxa"/>
          </w:tcPr>
          <w:p w14:paraId="1530647A" w14:textId="77777777" w:rsidR="00C64360" w:rsidRPr="00C64360" w:rsidRDefault="00C64360" w:rsidP="000349DD">
            <w:pPr>
              <w:tabs>
                <w:tab w:val="left" w:pos="5712"/>
              </w:tabs>
              <w:rPr>
                <w:rFonts w:ascii="Arial" w:hAnsi="Arial" w:cs="Arial"/>
                <w:sz w:val="20"/>
                <w:szCs w:val="20"/>
              </w:rPr>
            </w:pPr>
          </w:p>
        </w:tc>
      </w:tr>
      <w:tr w:rsidR="00C64360" w:rsidRPr="003B1F98" w14:paraId="39D8F433" w14:textId="77777777" w:rsidTr="0063689E">
        <w:trPr>
          <w:jc w:val="center"/>
        </w:trPr>
        <w:tc>
          <w:tcPr>
            <w:tcW w:w="1435" w:type="dxa"/>
          </w:tcPr>
          <w:p w14:paraId="0633A5C9"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 xml:space="preserve">ODSA </w:t>
            </w:r>
          </w:p>
        </w:tc>
        <w:tc>
          <w:tcPr>
            <w:tcW w:w="5470" w:type="dxa"/>
            <w:gridSpan w:val="3"/>
          </w:tcPr>
          <w:p w14:paraId="066BD4E2" w14:textId="3C89D556" w:rsidR="00C64360" w:rsidRPr="00C64360" w:rsidRDefault="00C64360" w:rsidP="000349DD">
            <w:pPr>
              <w:tabs>
                <w:tab w:val="left" w:pos="5712"/>
              </w:tabs>
              <w:rPr>
                <w:rFonts w:ascii="Arial" w:hAnsi="Arial" w:cs="Arial"/>
                <w:sz w:val="20"/>
                <w:szCs w:val="20"/>
              </w:rPr>
            </w:pPr>
            <w:r w:rsidRPr="00C64360">
              <w:rPr>
                <w:rFonts w:ascii="Arial" w:hAnsi="Arial" w:cs="Arial"/>
                <w:color w:val="000000" w:themeColor="text1"/>
                <w:sz w:val="20"/>
                <w:szCs w:val="20"/>
              </w:rPr>
              <w:t>absent</w:t>
            </w:r>
          </w:p>
        </w:tc>
        <w:tc>
          <w:tcPr>
            <w:tcW w:w="1414" w:type="dxa"/>
          </w:tcPr>
          <w:p w14:paraId="71D292CD" w14:textId="77777777" w:rsidR="00C64360" w:rsidRPr="00C64360" w:rsidRDefault="00C64360" w:rsidP="000349DD">
            <w:pPr>
              <w:tabs>
                <w:tab w:val="left" w:pos="5712"/>
              </w:tabs>
              <w:rPr>
                <w:rFonts w:ascii="Arial" w:hAnsi="Arial" w:cs="Arial"/>
                <w:b/>
                <w:sz w:val="20"/>
                <w:szCs w:val="20"/>
              </w:rPr>
            </w:pPr>
          </w:p>
        </w:tc>
        <w:tc>
          <w:tcPr>
            <w:tcW w:w="1892" w:type="dxa"/>
          </w:tcPr>
          <w:p w14:paraId="3656C539" w14:textId="77777777" w:rsidR="00C64360" w:rsidRPr="00C64360" w:rsidRDefault="00C64360" w:rsidP="000349DD">
            <w:pPr>
              <w:tabs>
                <w:tab w:val="left" w:pos="5712"/>
              </w:tabs>
              <w:rPr>
                <w:rFonts w:ascii="Arial" w:hAnsi="Arial" w:cs="Arial"/>
                <w:sz w:val="20"/>
                <w:szCs w:val="20"/>
              </w:rPr>
            </w:pPr>
          </w:p>
        </w:tc>
      </w:tr>
      <w:tr w:rsidR="00C64360" w:rsidRPr="003B1F98" w14:paraId="2E45C3B0" w14:textId="77777777" w:rsidTr="0063689E">
        <w:trPr>
          <w:jc w:val="center"/>
        </w:trPr>
        <w:tc>
          <w:tcPr>
            <w:tcW w:w="1435" w:type="dxa"/>
          </w:tcPr>
          <w:p w14:paraId="531D0FDC"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COHHIO</w:t>
            </w:r>
          </w:p>
        </w:tc>
        <w:tc>
          <w:tcPr>
            <w:tcW w:w="8776" w:type="dxa"/>
            <w:gridSpan w:val="5"/>
          </w:tcPr>
          <w:p w14:paraId="1CF641C4" w14:textId="77777777" w:rsidR="00C64360" w:rsidRPr="00C64360" w:rsidRDefault="00C64360" w:rsidP="000349DD">
            <w:pPr>
              <w:tabs>
                <w:tab w:val="left" w:pos="5712"/>
              </w:tabs>
              <w:rPr>
                <w:rFonts w:ascii="Arial" w:hAnsi="Arial" w:cs="Arial"/>
                <w:sz w:val="20"/>
                <w:szCs w:val="20"/>
              </w:rPr>
            </w:pPr>
            <w:r w:rsidRPr="00C64360">
              <w:rPr>
                <w:rFonts w:ascii="Arial" w:hAnsi="Arial" w:cs="Arial"/>
                <w:sz w:val="20"/>
                <w:szCs w:val="20"/>
              </w:rPr>
              <w:t>Amanda Wilson</w:t>
            </w:r>
          </w:p>
        </w:tc>
      </w:tr>
      <w:tr w:rsidR="00C64360" w:rsidRPr="003B1F98" w14:paraId="13CB4024" w14:textId="77777777" w:rsidTr="0063689E">
        <w:trPr>
          <w:jc w:val="center"/>
        </w:trPr>
        <w:tc>
          <w:tcPr>
            <w:tcW w:w="1435" w:type="dxa"/>
          </w:tcPr>
          <w:p w14:paraId="4570F55A" w14:textId="77777777" w:rsidR="00C64360" w:rsidRPr="00C64360" w:rsidRDefault="00C64360" w:rsidP="000349DD">
            <w:pPr>
              <w:tabs>
                <w:tab w:val="left" w:pos="5712"/>
              </w:tabs>
              <w:rPr>
                <w:rFonts w:ascii="Arial" w:hAnsi="Arial" w:cs="Arial"/>
                <w:b/>
                <w:sz w:val="20"/>
                <w:szCs w:val="20"/>
              </w:rPr>
            </w:pPr>
            <w:r w:rsidRPr="00C64360">
              <w:rPr>
                <w:rFonts w:ascii="Arial" w:hAnsi="Arial" w:cs="Arial"/>
                <w:b/>
                <w:sz w:val="20"/>
                <w:szCs w:val="20"/>
              </w:rPr>
              <w:t>Others in attendance (non-voting)</w:t>
            </w:r>
          </w:p>
        </w:tc>
        <w:tc>
          <w:tcPr>
            <w:tcW w:w="8776" w:type="dxa"/>
            <w:gridSpan w:val="5"/>
          </w:tcPr>
          <w:p w14:paraId="1981634D" w14:textId="0ECA061C" w:rsidR="00C64360" w:rsidRPr="00C64360" w:rsidRDefault="00C64360" w:rsidP="000349DD">
            <w:pPr>
              <w:tabs>
                <w:tab w:val="left" w:pos="5712"/>
              </w:tabs>
              <w:rPr>
                <w:rFonts w:ascii="Arial" w:hAnsi="Arial" w:cs="Arial"/>
                <w:sz w:val="20"/>
                <w:szCs w:val="20"/>
              </w:rPr>
            </w:pPr>
            <w:r w:rsidRPr="00C64360">
              <w:rPr>
                <w:rFonts w:ascii="Arial" w:hAnsi="Arial" w:cs="Arial"/>
                <w:sz w:val="20"/>
                <w:szCs w:val="20"/>
              </w:rPr>
              <w:t xml:space="preserve">Erica Mulryan/COHHIO, </w:t>
            </w:r>
          </w:p>
        </w:tc>
      </w:tr>
    </w:tbl>
    <w:p w14:paraId="25A118CA" w14:textId="77777777" w:rsidR="00C64360" w:rsidRPr="00C64360" w:rsidRDefault="00C64360" w:rsidP="008C5109">
      <w:pPr>
        <w:rPr>
          <w:rFonts w:ascii="Arial" w:hAnsi="Arial"/>
          <w:b/>
          <w:sz w:val="20"/>
          <w:szCs w:val="20"/>
        </w:rPr>
      </w:pPr>
    </w:p>
    <w:p w14:paraId="1670162A" w14:textId="77777777" w:rsidR="00B4597B" w:rsidRDefault="00B4597B" w:rsidP="008C5109">
      <w:pPr>
        <w:rPr>
          <w:rFonts w:ascii="Arial" w:hAnsi="Arial"/>
          <w:b/>
          <w:u w:val="single"/>
        </w:rPr>
      </w:pPr>
    </w:p>
    <w:p w14:paraId="650F0533" w14:textId="77777777" w:rsidR="00B4597B" w:rsidRDefault="00B4597B" w:rsidP="008C5109">
      <w:pPr>
        <w:rPr>
          <w:rFonts w:ascii="Arial" w:hAnsi="Arial"/>
          <w:b/>
          <w:u w:val="single"/>
        </w:rPr>
      </w:pPr>
    </w:p>
    <w:p w14:paraId="650BFF5A" w14:textId="33FE6A85" w:rsidR="008C5109" w:rsidRPr="008C5109" w:rsidRDefault="008C5109" w:rsidP="008C5109">
      <w:pPr>
        <w:rPr>
          <w:rFonts w:ascii="Arial" w:hAnsi="Arial"/>
          <w:b/>
          <w:u w:val="single"/>
        </w:rPr>
      </w:pPr>
      <w:r>
        <w:rPr>
          <w:rFonts w:ascii="Arial" w:hAnsi="Arial"/>
          <w:b/>
          <w:u w:val="single"/>
        </w:rPr>
        <w:t>MEETING AGENDA</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63689E">
        <w:rPr>
          <w:rFonts w:ascii="Arial" w:hAnsi="Arial"/>
          <w:b/>
          <w:u w:val="single"/>
        </w:rPr>
        <w:tab/>
      </w:r>
      <w:r w:rsidR="0063689E">
        <w:rPr>
          <w:rFonts w:ascii="Arial" w:hAnsi="Arial"/>
          <w:b/>
          <w:u w:val="single"/>
        </w:rPr>
        <w:tab/>
      </w:r>
      <w:r>
        <w:rPr>
          <w:rFonts w:ascii="Arial" w:hAnsi="Arial"/>
          <w:b/>
          <w:u w:val="single"/>
        </w:rPr>
        <w:tab/>
      </w:r>
      <w:r>
        <w:rPr>
          <w:rFonts w:ascii="Arial" w:hAnsi="Arial"/>
          <w:b/>
          <w:u w:val="single"/>
        </w:rPr>
        <w:tab/>
      </w:r>
    </w:p>
    <w:p w14:paraId="343C30FA" w14:textId="5FD707A2" w:rsidR="00C10E7F" w:rsidRPr="008C2037" w:rsidRDefault="003204E5" w:rsidP="008C2037">
      <w:pPr>
        <w:tabs>
          <w:tab w:val="left" w:pos="5712"/>
        </w:tabs>
        <w:rPr>
          <w:rFonts w:ascii="Arial" w:hAnsi="Arial"/>
          <w:b/>
        </w:rPr>
      </w:pPr>
      <w:r w:rsidRPr="00CD142E">
        <w:rPr>
          <w:rFonts w:ascii="Arial" w:hAnsi="Arial"/>
          <w:b/>
        </w:rPr>
        <w:tab/>
      </w:r>
    </w:p>
    <w:p w14:paraId="3239A8AD" w14:textId="3DD89FE2" w:rsidR="00460C43" w:rsidRPr="00C64360" w:rsidRDefault="00B32457" w:rsidP="00C64360">
      <w:pPr>
        <w:rPr>
          <w:rFonts w:ascii="Arial" w:hAnsi="Arial"/>
          <w:b/>
          <w:sz w:val="20"/>
          <w:szCs w:val="20"/>
        </w:rPr>
      </w:pPr>
      <w:r w:rsidRPr="00C64360">
        <w:rPr>
          <w:rFonts w:ascii="Arial" w:hAnsi="Arial"/>
          <w:b/>
          <w:sz w:val="20"/>
          <w:szCs w:val="20"/>
        </w:rPr>
        <w:t xml:space="preserve">FY2018 </w:t>
      </w:r>
      <w:proofErr w:type="spellStart"/>
      <w:r w:rsidRPr="00C64360">
        <w:rPr>
          <w:rFonts w:ascii="Arial" w:hAnsi="Arial"/>
          <w:b/>
          <w:sz w:val="20"/>
          <w:szCs w:val="20"/>
        </w:rPr>
        <w:t>CoC</w:t>
      </w:r>
      <w:proofErr w:type="spellEnd"/>
      <w:r w:rsidRPr="00C64360">
        <w:rPr>
          <w:rFonts w:ascii="Arial" w:hAnsi="Arial"/>
          <w:b/>
          <w:sz w:val="20"/>
          <w:szCs w:val="20"/>
        </w:rPr>
        <w:t xml:space="preserve"> Competition Update</w:t>
      </w:r>
    </w:p>
    <w:p w14:paraId="627DA12F" w14:textId="1D3D0C15" w:rsidR="003C2A80" w:rsidRDefault="003C2A80" w:rsidP="00C64360">
      <w:pPr>
        <w:pStyle w:val="ListParagraph"/>
        <w:numPr>
          <w:ilvl w:val="0"/>
          <w:numId w:val="6"/>
        </w:numPr>
        <w:rPr>
          <w:rFonts w:ascii="Arial" w:hAnsi="Arial"/>
          <w:sz w:val="20"/>
          <w:szCs w:val="20"/>
        </w:rPr>
      </w:pPr>
      <w:r>
        <w:rPr>
          <w:rFonts w:ascii="Arial" w:hAnsi="Arial"/>
          <w:sz w:val="20"/>
          <w:szCs w:val="20"/>
        </w:rPr>
        <w:t>New Project Recommendations</w:t>
      </w:r>
    </w:p>
    <w:p w14:paraId="37E1931B" w14:textId="0823F6E7" w:rsidR="00C64360" w:rsidRDefault="00C64360" w:rsidP="00C64360">
      <w:pPr>
        <w:pStyle w:val="ListParagraph"/>
        <w:numPr>
          <w:ilvl w:val="1"/>
          <w:numId w:val="6"/>
        </w:numPr>
        <w:rPr>
          <w:rFonts w:ascii="Arial" w:hAnsi="Arial"/>
          <w:sz w:val="20"/>
          <w:szCs w:val="20"/>
        </w:rPr>
      </w:pPr>
      <w:r>
        <w:rPr>
          <w:rFonts w:ascii="Arial" w:hAnsi="Arial"/>
          <w:sz w:val="20"/>
          <w:szCs w:val="20"/>
        </w:rPr>
        <w:t>New Project Applications</w:t>
      </w:r>
    </w:p>
    <w:p w14:paraId="63D5477A" w14:textId="4C81FC44" w:rsidR="00C64360" w:rsidRDefault="00C64360" w:rsidP="00C64360">
      <w:pPr>
        <w:pStyle w:val="ListParagraph"/>
        <w:numPr>
          <w:ilvl w:val="2"/>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staff shared summary information about one new PSH project application received, as part of the </w:t>
      </w:r>
      <w:proofErr w:type="spellStart"/>
      <w:r>
        <w:rPr>
          <w:rFonts w:ascii="Arial" w:hAnsi="Arial"/>
          <w:sz w:val="20"/>
          <w:szCs w:val="20"/>
        </w:rPr>
        <w:t>CoC’s</w:t>
      </w:r>
      <w:proofErr w:type="spellEnd"/>
      <w:r>
        <w:rPr>
          <w:rFonts w:ascii="Arial" w:hAnsi="Arial"/>
          <w:sz w:val="20"/>
          <w:szCs w:val="20"/>
        </w:rPr>
        <w:t xml:space="preserve"> regular project app solicitation process</w:t>
      </w:r>
    </w:p>
    <w:p w14:paraId="65356574" w14:textId="7220E4FF" w:rsidR="00C64360" w:rsidRDefault="00C64360" w:rsidP="00C64360">
      <w:pPr>
        <w:pStyle w:val="ListParagraph"/>
        <w:numPr>
          <w:ilvl w:val="2"/>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staff shared the Steering committee recommendation NOT to include the project application in the </w:t>
      </w:r>
      <w:proofErr w:type="spellStart"/>
      <w:r>
        <w:rPr>
          <w:rFonts w:ascii="Arial" w:hAnsi="Arial"/>
          <w:sz w:val="20"/>
          <w:szCs w:val="20"/>
        </w:rPr>
        <w:t>CoC’s</w:t>
      </w:r>
      <w:proofErr w:type="spellEnd"/>
      <w:r>
        <w:rPr>
          <w:rFonts w:ascii="Arial" w:hAnsi="Arial"/>
          <w:sz w:val="20"/>
          <w:szCs w:val="20"/>
        </w:rPr>
        <w:t xml:space="preserve"> project listing and consolidated application for the following primary reasons:</w:t>
      </w:r>
    </w:p>
    <w:p w14:paraId="7E648A77" w14:textId="178DE4DF" w:rsidR="00C64360" w:rsidRDefault="00C64360" w:rsidP="00C64360">
      <w:pPr>
        <w:pStyle w:val="ListParagraph"/>
        <w:numPr>
          <w:ilvl w:val="3"/>
          <w:numId w:val="6"/>
        </w:numPr>
        <w:rPr>
          <w:rFonts w:ascii="Arial" w:hAnsi="Arial"/>
          <w:sz w:val="20"/>
          <w:szCs w:val="20"/>
        </w:rPr>
      </w:pPr>
      <w:r>
        <w:rPr>
          <w:rFonts w:ascii="Arial" w:hAnsi="Arial"/>
          <w:sz w:val="20"/>
          <w:szCs w:val="20"/>
        </w:rPr>
        <w:t>Applicant has never managed public funds</w:t>
      </w:r>
    </w:p>
    <w:p w14:paraId="72FE0EE2" w14:textId="6629F694" w:rsidR="00C64360" w:rsidRDefault="00C64360" w:rsidP="00C64360">
      <w:pPr>
        <w:pStyle w:val="ListParagraph"/>
        <w:numPr>
          <w:ilvl w:val="3"/>
          <w:numId w:val="6"/>
        </w:numPr>
        <w:rPr>
          <w:rFonts w:ascii="Arial" w:hAnsi="Arial"/>
          <w:sz w:val="20"/>
          <w:szCs w:val="20"/>
        </w:rPr>
      </w:pPr>
      <w:r>
        <w:rPr>
          <w:rFonts w:ascii="Arial" w:hAnsi="Arial"/>
          <w:sz w:val="20"/>
          <w:szCs w:val="20"/>
        </w:rPr>
        <w:t xml:space="preserve">General concerns about applicant’s ability to comply with </w:t>
      </w:r>
      <w:proofErr w:type="spellStart"/>
      <w:r>
        <w:rPr>
          <w:rFonts w:ascii="Arial" w:hAnsi="Arial"/>
          <w:sz w:val="20"/>
          <w:szCs w:val="20"/>
        </w:rPr>
        <w:t>CoC</w:t>
      </w:r>
      <w:proofErr w:type="spellEnd"/>
      <w:r>
        <w:rPr>
          <w:rFonts w:ascii="Arial" w:hAnsi="Arial"/>
          <w:sz w:val="20"/>
          <w:szCs w:val="20"/>
        </w:rPr>
        <w:t xml:space="preserve"> Program rules, given lack of past experience with public funds</w:t>
      </w:r>
    </w:p>
    <w:p w14:paraId="3E693BDA" w14:textId="058C7567" w:rsidR="00C64360" w:rsidRDefault="00C64360" w:rsidP="00C64360">
      <w:pPr>
        <w:pStyle w:val="ListParagraph"/>
        <w:numPr>
          <w:ilvl w:val="3"/>
          <w:numId w:val="6"/>
        </w:numPr>
        <w:rPr>
          <w:rFonts w:ascii="Arial" w:hAnsi="Arial"/>
          <w:sz w:val="20"/>
          <w:szCs w:val="20"/>
        </w:rPr>
      </w:pPr>
      <w:r>
        <w:rPr>
          <w:rFonts w:ascii="Arial" w:hAnsi="Arial"/>
          <w:sz w:val="20"/>
          <w:szCs w:val="20"/>
        </w:rPr>
        <w:t xml:space="preserve">Project is not in alignment with </w:t>
      </w:r>
      <w:proofErr w:type="spellStart"/>
      <w:r>
        <w:rPr>
          <w:rFonts w:ascii="Arial" w:hAnsi="Arial"/>
          <w:sz w:val="20"/>
          <w:szCs w:val="20"/>
        </w:rPr>
        <w:t>CoC’s</w:t>
      </w:r>
      <w:proofErr w:type="spellEnd"/>
      <w:r>
        <w:rPr>
          <w:rFonts w:ascii="Arial" w:hAnsi="Arial"/>
          <w:sz w:val="20"/>
          <w:szCs w:val="20"/>
        </w:rPr>
        <w:t xml:space="preserve"> cost effectiveness goals, in part b/c of lack of partnership with a service provider partner that can bill Medicaid for eligible services</w:t>
      </w:r>
    </w:p>
    <w:p w14:paraId="3D447014" w14:textId="4545667E" w:rsidR="00C64360" w:rsidRDefault="00C64360" w:rsidP="00C64360">
      <w:pPr>
        <w:pStyle w:val="ListParagraph"/>
        <w:numPr>
          <w:ilvl w:val="3"/>
          <w:numId w:val="6"/>
        </w:numPr>
        <w:rPr>
          <w:rFonts w:ascii="Arial" w:hAnsi="Arial"/>
          <w:sz w:val="20"/>
          <w:szCs w:val="20"/>
        </w:rPr>
      </w:pPr>
      <w:r>
        <w:rPr>
          <w:rFonts w:ascii="Arial" w:hAnsi="Arial"/>
          <w:sz w:val="20"/>
          <w:szCs w:val="20"/>
        </w:rPr>
        <w:t>Proposed service area is not a high priority region</w:t>
      </w:r>
    </w:p>
    <w:p w14:paraId="0A97806B" w14:textId="2F9F958B" w:rsidR="00C64360" w:rsidRPr="00C64360" w:rsidRDefault="00C64360" w:rsidP="00C64360">
      <w:pPr>
        <w:pStyle w:val="ListParagraph"/>
        <w:numPr>
          <w:ilvl w:val="2"/>
          <w:numId w:val="6"/>
        </w:numPr>
        <w:rPr>
          <w:rFonts w:ascii="Arial" w:hAnsi="Arial"/>
          <w:sz w:val="20"/>
          <w:szCs w:val="20"/>
        </w:rPr>
      </w:pPr>
      <w:r>
        <w:rPr>
          <w:rFonts w:ascii="Arial" w:hAnsi="Arial"/>
          <w:sz w:val="20"/>
          <w:szCs w:val="20"/>
        </w:rPr>
        <w:t xml:space="preserve">Chuck </w:t>
      </w:r>
      <w:proofErr w:type="spellStart"/>
      <w:r>
        <w:rPr>
          <w:rFonts w:ascii="Arial" w:hAnsi="Arial"/>
          <w:sz w:val="20"/>
          <w:szCs w:val="20"/>
        </w:rPr>
        <w:t>Bulick</w:t>
      </w:r>
      <w:proofErr w:type="spellEnd"/>
      <w:r>
        <w:rPr>
          <w:rFonts w:ascii="Arial" w:hAnsi="Arial"/>
          <w:sz w:val="20"/>
          <w:szCs w:val="20"/>
        </w:rPr>
        <w:t xml:space="preserve"> moved to accept the Steering Committee’s recommendation to NOT include the PSH project application from Crystal Tower in the </w:t>
      </w:r>
      <w:proofErr w:type="spellStart"/>
      <w:r>
        <w:rPr>
          <w:rFonts w:ascii="Arial" w:hAnsi="Arial"/>
          <w:sz w:val="20"/>
          <w:szCs w:val="20"/>
        </w:rPr>
        <w:t>CoC’s</w:t>
      </w:r>
      <w:proofErr w:type="spellEnd"/>
      <w:r>
        <w:rPr>
          <w:rFonts w:ascii="Arial" w:hAnsi="Arial"/>
          <w:sz w:val="20"/>
          <w:szCs w:val="20"/>
        </w:rPr>
        <w:t xml:space="preserve"> FY18 project listing and consolidated application. </w:t>
      </w:r>
      <w:r w:rsidRPr="00C64360">
        <w:rPr>
          <w:rFonts w:ascii="Arial" w:hAnsi="Arial"/>
          <w:sz w:val="20"/>
          <w:szCs w:val="20"/>
        </w:rPr>
        <w:t xml:space="preserve">Debbie </w:t>
      </w:r>
      <w:proofErr w:type="spellStart"/>
      <w:r w:rsidRPr="00C64360">
        <w:rPr>
          <w:rFonts w:ascii="Arial" w:hAnsi="Arial"/>
          <w:sz w:val="20"/>
          <w:szCs w:val="20"/>
        </w:rPr>
        <w:t>Kubena-Yatsko</w:t>
      </w:r>
      <w:proofErr w:type="spellEnd"/>
      <w:r w:rsidRPr="00C64360">
        <w:rPr>
          <w:rFonts w:ascii="Arial" w:hAnsi="Arial"/>
          <w:sz w:val="20"/>
          <w:szCs w:val="20"/>
        </w:rPr>
        <w:t xml:space="preserve">, seconded. </w:t>
      </w:r>
      <w:r>
        <w:rPr>
          <w:rFonts w:ascii="Arial" w:hAnsi="Arial"/>
          <w:sz w:val="20"/>
          <w:szCs w:val="20"/>
        </w:rPr>
        <w:t>The motion passed unanimously. No abstentions.</w:t>
      </w:r>
    </w:p>
    <w:p w14:paraId="0C81CFCB" w14:textId="5C462713" w:rsidR="003C2A80" w:rsidRDefault="003C2A80" w:rsidP="00C64360">
      <w:pPr>
        <w:pStyle w:val="ListParagraph"/>
        <w:numPr>
          <w:ilvl w:val="1"/>
          <w:numId w:val="6"/>
        </w:numPr>
        <w:rPr>
          <w:rFonts w:ascii="Arial" w:hAnsi="Arial"/>
          <w:sz w:val="20"/>
          <w:szCs w:val="20"/>
        </w:rPr>
      </w:pPr>
      <w:r>
        <w:rPr>
          <w:rFonts w:ascii="Arial" w:hAnsi="Arial"/>
          <w:sz w:val="20"/>
          <w:szCs w:val="20"/>
        </w:rPr>
        <w:t>Bonus</w:t>
      </w:r>
      <w:r w:rsidR="00C64360">
        <w:rPr>
          <w:rFonts w:ascii="Arial" w:hAnsi="Arial"/>
          <w:sz w:val="20"/>
          <w:szCs w:val="20"/>
        </w:rPr>
        <w:t xml:space="preserve"> Funding </w:t>
      </w:r>
    </w:p>
    <w:p w14:paraId="089D7FD0" w14:textId="26E82B13" w:rsidR="003C2A80" w:rsidRDefault="00C64360" w:rsidP="00C64360">
      <w:pPr>
        <w:pStyle w:val="ListParagraph"/>
        <w:numPr>
          <w:ilvl w:val="2"/>
          <w:numId w:val="6"/>
        </w:numPr>
        <w:rPr>
          <w:rFonts w:ascii="Arial" w:hAnsi="Arial"/>
          <w:sz w:val="20"/>
          <w:szCs w:val="20"/>
        </w:rPr>
      </w:pPr>
      <w:r>
        <w:rPr>
          <w:rFonts w:ascii="Arial" w:hAnsi="Arial"/>
          <w:sz w:val="20"/>
          <w:szCs w:val="20"/>
        </w:rPr>
        <w:lastRenderedPageBreak/>
        <w:t xml:space="preserve">HUD is competitively funding Bonus projects again the FY18 </w:t>
      </w:r>
      <w:proofErr w:type="spellStart"/>
      <w:r>
        <w:rPr>
          <w:rFonts w:ascii="Arial" w:hAnsi="Arial"/>
          <w:sz w:val="20"/>
          <w:szCs w:val="20"/>
        </w:rPr>
        <w:t>CoC</w:t>
      </w:r>
      <w:proofErr w:type="spellEnd"/>
      <w:r>
        <w:rPr>
          <w:rFonts w:ascii="Arial" w:hAnsi="Arial"/>
          <w:sz w:val="20"/>
          <w:szCs w:val="20"/>
        </w:rPr>
        <w:t xml:space="preserve"> Competition. </w:t>
      </w:r>
      <w:proofErr w:type="spellStart"/>
      <w:r>
        <w:rPr>
          <w:rFonts w:ascii="Arial" w:hAnsi="Arial"/>
          <w:sz w:val="20"/>
          <w:szCs w:val="20"/>
        </w:rPr>
        <w:t>CoC</w:t>
      </w:r>
      <w:proofErr w:type="spellEnd"/>
      <w:r>
        <w:rPr>
          <w:rFonts w:ascii="Arial" w:hAnsi="Arial"/>
          <w:sz w:val="20"/>
          <w:szCs w:val="20"/>
        </w:rPr>
        <w:t xml:space="preserve"> Team indicated that, aligning with the </w:t>
      </w:r>
      <w:proofErr w:type="spellStart"/>
      <w:r>
        <w:rPr>
          <w:rFonts w:ascii="Arial" w:hAnsi="Arial"/>
          <w:sz w:val="20"/>
          <w:szCs w:val="20"/>
        </w:rPr>
        <w:t>CoC</w:t>
      </w:r>
      <w:proofErr w:type="spellEnd"/>
      <w:r>
        <w:rPr>
          <w:rFonts w:ascii="Arial" w:hAnsi="Arial"/>
          <w:sz w:val="20"/>
          <w:szCs w:val="20"/>
        </w:rPr>
        <w:t xml:space="preserve"> Board’s previously identified priority of expanding RRH resources across the </w:t>
      </w:r>
      <w:proofErr w:type="spellStart"/>
      <w:r>
        <w:rPr>
          <w:rFonts w:ascii="Arial" w:hAnsi="Arial"/>
          <w:sz w:val="20"/>
          <w:szCs w:val="20"/>
        </w:rPr>
        <w:t>CoC</w:t>
      </w:r>
      <w:proofErr w:type="spellEnd"/>
      <w:r>
        <w:rPr>
          <w:rFonts w:ascii="Arial" w:hAnsi="Arial"/>
          <w:sz w:val="20"/>
          <w:szCs w:val="20"/>
        </w:rPr>
        <w:t xml:space="preserve">, they are recommending that the </w:t>
      </w:r>
      <w:proofErr w:type="spellStart"/>
      <w:r>
        <w:rPr>
          <w:rFonts w:ascii="Arial" w:hAnsi="Arial"/>
          <w:sz w:val="20"/>
          <w:szCs w:val="20"/>
        </w:rPr>
        <w:t>BoSCoC</w:t>
      </w:r>
      <w:proofErr w:type="spellEnd"/>
      <w:r>
        <w:rPr>
          <w:rFonts w:ascii="Arial" w:hAnsi="Arial"/>
          <w:sz w:val="20"/>
          <w:szCs w:val="20"/>
        </w:rPr>
        <w:t xml:space="preserve"> submit multiple RRH project applications for the Bonus funding</w:t>
      </w:r>
    </w:p>
    <w:p w14:paraId="229CC555" w14:textId="43221DA5" w:rsidR="00BA262F" w:rsidRDefault="00BA262F" w:rsidP="00C64360">
      <w:pPr>
        <w:pStyle w:val="ListParagraph"/>
        <w:numPr>
          <w:ilvl w:val="2"/>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staff also shared that ODSA is no longer willing to be the primary applicant for a </w:t>
      </w:r>
      <w:proofErr w:type="spellStart"/>
      <w:r>
        <w:rPr>
          <w:rFonts w:ascii="Arial" w:hAnsi="Arial"/>
          <w:sz w:val="20"/>
          <w:szCs w:val="20"/>
        </w:rPr>
        <w:t>CoC</w:t>
      </w:r>
      <w:proofErr w:type="spellEnd"/>
      <w:r>
        <w:rPr>
          <w:rFonts w:ascii="Arial" w:hAnsi="Arial"/>
          <w:sz w:val="20"/>
          <w:szCs w:val="20"/>
        </w:rPr>
        <w:t xml:space="preserve">-wide RRH project, so the </w:t>
      </w:r>
      <w:proofErr w:type="spellStart"/>
      <w:r>
        <w:rPr>
          <w:rFonts w:ascii="Arial" w:hAnsi="Arial"/>
          <w:sz w:val="20"/>
          <w:szCs w:val="20"/>
        </w:rPr>
        <w:t>CoC</w:t>
      </w:r>
      <w:proofErr w:type="spellEnd"/>
      <w:r>
        <w:rPr>
          <w:rFonts w:ascii="Arial" w:hAnsi="Arial"/>
          <w:sz w:val="20"/>
          <w:szCs w:val="20"/>
        </w:rPr>
        <w:t xml:space="preserve"> must move forward with submitting multiple applications (which is permitted for regular Bonus funding)</w:t>
      </w:r>
    </w:p>
    <w:p w14:paraId="0ED822A1" w14:textId="0D8BA55D" w:rsidR="00BA262F" w:rsidRDefault="00BA262F" w:rsidP="00C64360">
      <w:pPr>
        <w:pStyle w:val="ListParagraph"/>
        <w:numPr>
          <w:ilvl w:val="2"/>
          <w:numId w:val="6"/>
        </w:numPr>
        <w:rPr>
          <w:rFonts w:ascii="Arial" w:hAnsi="Arial"/>
          <w:sz w:val="20"/>
          <w:szCs w:val="20"/>
        </w:rPr>
      </w:pPr>
      <w:r>
        <w:rPr>
          <w:rFonts w:ascii="Arial" w:hAnsi="Arial"/>
          <w:sz w:val="20"/>
          <w:szCs w:val="20"/>
        </w:rPr>
        <w:t xml:space="preserve">In order the be strategic about new RRH projects, </w:t>
      </w:r>
      <w:proofErr w:type="spellStart"/>
      <w:r>
        <w:rPr>
          <w:rFonts w:ascii="Arial" w:hAnsi="Arial"/>
          <w:sz w:val="20"/>
          <w:szCs w:val="20"/>
        </w:rPr>
        <w:t>CoC</w:t>
      </w:r>
      <w:proofErr w:type="spellEnd"/>
      <w:r>
        <w:rPr>
          <w:rFonts w:ascii="Arial" w:hAnsi="Arial"/>
          <w:sz w:val="20"/>
          <w:szCs w:val="20"/>
        </w:rPr>
        <w:t xml:space="preserve"> staff intend to use an RFP process to solicit new RRH project applications that can serve at least a whole HCRP region. Additionally, b/c ODSA is awarding and additional $3 million in RRH funding competitively through HCRP this year, </w:t>
      </w:r>
      <w:proofErr w:type="spellStart"/>
      <w:r>
        <w:rPr>
          <w:rFonts w:ascii="Arial" w:hAnsi="Arial"/>
          <w:sz w:val="20"/>
          <w:szCs w:val="20"/>
        </w:rPr>
        <w:t>CoC</w:t>
      </w:r>
      <w:proofErr w:type="spellEnd"/>
      <w:r>
        <w:rPr>
          <w:rFonts w:ascii="Arial" w:hAnsi="Arial"/>
          <w:sz w:val="20"/>
          <w:szCs w:val="20"/>
        </w:rPr>
        <w:t xml:space="preserve"> staff are recommending that for the Bonus funding RFP we only permit those HCRP regions NOT eligible to apply for HCRP competitive funds this year to submit a proposal. Ideally, this will help the entire </w:t>
      </w:r>
      <w:proofErr w:type="spellStart"/>
      <w:r>
        <w:rPr>
          <w:rFonts w:ascii="Arial" w:hAnsi="Arial"/>
          <w:sz w:val="20"/>
          <w:szCs w:val="20"/>
        </w:rPr>
        <w:t>CoC</w:t>
      </w:r>
      <w:proofErr w:type="spellEnd"/>
      <w:r>
        <w:rPr>
          <w:rFonts w:ascii="Arial" w:hAnsi="Arial"/>
          <w:sz w:val="20"/>
          <w:szCs w:val="20"/>
        </w:rPr>
        <w:t xml:space="preserve"> increase RRH resources across all or nearly all homeless planning regions over the next year</w:t>
      </w:r>
    </w:p>
    <w:p w14:paraId="177C1057" w14:textId="5B4F9BAC" w:rsidR="00BA262F" w:rsidRDefault="00BA262F" w:rsidP="00C64360">
      <w:pPr>
        <w:pStyle w:val="ListParagraph"/>
        <w:numPr>
          <w:ilvl w:val="2"/>
          <w:numId w:val="6"/>
        </w:numPr>
        <w:rPr>
          <w:rFonts w:ascii="Arial" w:hAnsi="Arial"/>
          <w:sz w:val="20"/>
          <w:szCs w:val="20"/>
        </w:rPr>
      </w:pPr>
      <w:r>
        <w:rPr>
          <w:rFonts w:ascii="Arial" w:hAnsi="Arial"/>
          <w:sz w:val="20"/>
          <w:szCs w:val="20"/>
        </w:rPr>
        <w:t xml:space="preserve">After some minor discussion, the </w:t>
      </w:r>
      <w:proofErr w:type="spellStart"/>
      <w:r>
        <w:rPr>
          <w:rFonts w:ascii="Arial" w:hAnsi="Arial"/>
          <w:sz w:val="20"/>
          <w:szCs w:val="20"/>
        </w:rPr>
        <w:t>CoC</w:t>
      </w:r>
      <w:proofErr w:type="spellEnd"/>
      <w:r>
        <w:rPr>
          <w:rFonts w:ascii="Arial" w:hAnsi="Arial"/>
          <w:sz w:val="20"/>
          <w:szCs w:val="20"/>
        </w:rPr>
        <w:t xml:space="preserve"> board came to </w:t>
      </w:r>
      <w:proofErr w:type="gramStart"/>
      <w:r>
        <w:rPr>
          <w:rFonts w:ascii="Arial" w:hAnsi="Arial"/>
          <w:sz w:val="20"/>
          <w:szCs w:val="20"/>
        </w:rPr>
        <w:t>consensus  that</w:t>
      </w:r>
      <w:proofErr w:type="gramEnd"/>
      <w:r>
        <w:rPr>
          <w:rFonts w:ascii="Arial" w:hAnsi="Arial"/>
          <w:sz w:val="20"/>
          <w:szCs w:val="20"/>
        </w:rPr>
        <w:t xml:space="preserve"> the approach for applying for Bonus funds in the FY18 </w:t>
      </w:r>
      <w:proofErr w:type="spellStart"/>
      <w:r>
        <w:rPr>
          <w:rFonts w:ascii="Arial" w:hAnsi="Arial"/>
          <w:sz w:val="20"/>
          <w:szCs w:val="20"/>
        </w:rPr>
        <w:t>CoC</w:t>
      </w:r>
      <w:proofErr w:type="spellEnd"/>
      <w:r>
        <w:rPr>
          <w:rFonts w:ascii="Arial" w:hAnsi="Arial"/>
          <w:sz w:val="20"/>
          <w:szCs w:val="20"/>
        </w:rPr>
        <w:t xml:space="preserve"> Competition made most sense for the Ohio </w:t>
      </w:r>
      <w:proofErr w:type="spellStart"/>
      <w:r>
        <w:rPr>
          <w:rFonts w:ascii="Arial" w:hAnsi="Arial"/>
          <w:sz w:val="20"/>
          <w:szCs w:val="20"/>
        </w:rPr>
        <w:t>BoSCoC</w:t>
      </w:r>
      <w:proofErr w:type="spellEnd"/>
      <w:r>
        <w:rPr>
          <w:rFonts w:ascii="Arial" w:hAnsi="Arial"/>
          <w:sz w:val="20"/>
          <w:szCs w:val="20"/>
        </w:rPr>
        <w:t xml:space="preserve"> and aligned with </w:t>
      </w:r>
      <w:proofErr w:type="spellStart"/>
      <w:r>
        <w:rPr>
          <w:rFonts w:ascii="Arial" w:hAnsi="Arial"/>
          <w:sz w:val="20"/>
          <w:szCs w:val="20"/>
        </w:rPr>
        <w:t>CoC</w:t>
      </w:r>
      <w:proofErr w:type="spellEnd"/>
      <w:r>
        <w:rPr>
          <w:rFonts w:ascii="Arial" w:hAnsi="Arial"/>
          <w:sz w:val="20"/>
          <w:szCs w:val="20"/>
        </w:rPr>
        <w:t xml:space="preserve"> Board priorities</w:t>
      </w:r>
    </w:p>
    <w:p w14:paraId="722610F7" w14:textId="0EA935CE" w:rsidR="003C2A80" w:rsidRDefault="003C2A80" w:rsidP="00C64360">
      <w:pPr>
        <w:pStyle w:val="ListParagraph"/>
        <w:numPr>
          <w:ilvl w:val="1"/>
          <w:numId w:val="6"/>
        </w:numPr>
        <w:rPr>
          <w:rFonts w:ascii="Arial" w:hAnsi="Arial"/>
          <w:sz w:val="20"/>
          <w:szCs w:val="20"/>
        </w:rPr>
      </w:pPr>
      <w:r>
        <w:rPr>
          <w:rFonts w:ascii="Arial" w:hAnsi="Arial"/>
          <w:sz w:val="20"/>
          <w:szCs w:val="20"/>
        </w:rPr>
        <w:t>DV Bonus</w:t>
      </w:r>
    </w:p>
    <w:p w14:paraId="181400C9" w14:textId="39F3F77D" w:rsidR="00BA262F" w:rsidRDefault="00BA262F" w:rsidP="00BA262F">
      <w:pPr>
        <w:pStyle w:val="ListParagraph"/>
        <w:numPr>
          <w:ilvl w:val="2"/>
          <w:numId w:val="6"/>
        </w:numPr>
        <w:rPr>
          <w:rFonts w:ascii="Arial" w:hAnsi="Arial"/>
          <w:sz w:val="20"/>
          <w:szCs w:val="20"/>
        </w:rPr>
      </w:pPr>
      <w:r>
        <w:rPr>
          <w:rFonts w:ascii="Arial" w:hAnsi="Arial"/>
          <w:sz w:val="20"/>
          <w:szCs w:val="20"/>
        </w:rPr>
        <w:t xml:space="preserve">New in FY18 </w:t>
      </w:r>
      <w:proofErr w:type="spellStart"/>
      <w:r>
        <w:rPr>
          <w:rFonts w:ascii="Arial" w:hAnsi="Arial"/>
          <w:sz w:val="20"/>
          <w:szCs w:val="20"/>
        </w:rPr>
        <w:t>CoC</w:t>
      </w:r>
      <w:proofErr w:type="spellEnd"/>
      <w:r>
        <w:rPr>
          <w:rFonts w:ascii="Arial" w:hAnsi="Arial"/>
          <w:sz w:val="20"/>
          <w:szCs w:val="20"/>
        </w:rPr>
        <w:t xml:space="preserve"> Competition, HUD is competitively awarding funding to </w:t>
      </w:r>
      <w:proofErr w:type="spellStart"/>
      <w:r>
        <w:rPr>
          <w:rFonts w:ascii="Arial" w:hAnsi="Arial"/>
          <w:sz w:val="20"/>
          <w:szCs w:val="20"/>
        </w:rPr>
        <w:t>CoCs</w:t>
      </w:r>
      <w:proofErr w:type="spellEnd"/>
      <w:r>
        <w:rPr>
          <w:rFonts w:ascii="Arial" w:hAnsi="Arial"/>
          <w:sz w:val="20"/>
          <w:szCs w:val="20"/>
        </w:rPr>
        <w:t xml:space="preserve"> through a DV Bonus. HUD is permitting </w:t>
      </w:r>
      <w:proofErr w:type="spellStart"/>
      <w:r>
        <w:rPr>
          <w:rFonts w:ascii="Arial" w:hAnsi="Arial"/>
          <w:sz w:val="20"/>
          <w:szCs w:val="20"/>
        </w:rPr>
        <w:t>CoC’s</w:t>
      </w:r>
      <w:proofErr w:type="spellEnd"/>
      <w:r>
        <w:rPr>
          <w:rFonts w:ascii="Arial" w:hAnsi="Arial"/>
          <w:sz w:val="20"/>
          <w:szCs w:val="20"/>
        </w:rPr>
        <w:t xml:space="preserve"> to submit up to three project applications for the DV Bonus, but only one of each permitted </w:t>
      </w:r>
      <w:proofErr w:type="gramStart"/>
      <w:r>
        <w:rPr>
          <w:rFonts w:ascii="Arial" w:hAnsi="Arial"/>
          <w:sz w:val="20"/>
          <w:szCs w:val="20"/>
        </w:rPr>
        <w:t>project</w:t>
      </w:r>
      <w:proofErr w:type="gramEnd"/>
      <w:r>
        <w:rPr>
          <w:rFonts w:ascii="Arial" w:hAnsi="Arial"/>
          <w:sz w:val="20"/>
          <w:szCs w:val="20"/>
        </w:rPr>
        <w:t xml:space="preserve"> type. Eligible project types are: </w:t>
      </w:r>
    </w:p>
    <w:p w14:paraId="6E0E698B" w14:textId="0C2DFD95" w:rsidR="00BA262F" w:rsidRDefault="00BA262F" w:rsidP="00BA262F">
      <w:pPr>
        <w:pStyle w:val="ListParagraph"/>
        <w:numPr>
          <w:ilvl w:val="3"/>
          <w:numId w:val="6"/>
        </w:numPr>
        <w:rPr>
          <w:rFonts w:ascii="Arial" w:hAnsi="Arial"/>
          <w:sz w:val="20"/>
          <w:szCs w:val="20"/>
        </w:rPr>
      </w:pPr>
      <w:r>
        <w:rPr>
          <w:rFonts w:ascii="Arial" w:hAnsi="Arial"/>
          <w:sz w:val="20"/>
          <w:szCs w:val="20"/>
        </w:rPr>
        <w:t>RRH</w:t>
      </w:r>
    </w:p>
    <w:p w14:paraId="5F6A4D8D" w14:textId="6FF7858C" w:rsidR="00BA262F" w:rsidRDefault="00BA262F" w:rsidP="00BA262F">
      <w:pPr>
        <w:pStyle w:val="ListParagraph"/>
        <w:numPr>
          <w:ilvl w:val="3"/>
          <w:numId w:val="6"/>
        </w:numPr>
        <w:rPr>
          <w:rFonts w:ascii="Arial" w:hAnsi="Arial"/>
          <w:sz w:val="20"/>
          <w:szCs w:val="20"/>
        </w:rPr>
      </w:pPr>
      <w:r>
        <w:rPr>
          <w:rFonts w:ascii="Arial" w:hAnsi="Arial"/>
          <w:sz w:val="20"/>
          <w:szCs w:val="20"/>
        </w:rPr>
        <w:t>Joint TH-RRH</w:t>
      </w:r>
    </w:p>
    <w:p w14:paraId="5B65EB0F" w14:textId="62D5D7B2" w:rsidR="00BA262F" w:rsidRDefault="00BA262F" w:rsidP="00BA262F">
      <w:pPr>
        <w:pStyle w:val="ListParagraph"/>
        <w:numPr>
          <w:ilvl w:val="3"/>
          <w:numId w:val="6"/>
        </w:numPr>
        <w:rPr>
          <w:rFonts w:ascii="Arial" w:hAnsi="Arial"/>
          <w:sz w:val="20"/>
          <w:szCs w:val="20"/>
        </w:rPr>
      </w:pPr>
      <w:r>
        <w:rPr>
          <w:rFonts w:ascii="Arial" w:hAnsi="Arial"/>
          <w:sz w:val="20"/>
          <w:szCs w:val="20"/>
        </w:rPr>
        <w:t>SSO-Coordinated Entry</w:t>
      </w:r>
    </w:p>
    <w:p w14:paraId="05CB49AB" w14:textId="3C160DE1" w:rsidR="00BA262F" w:rsidRDefault="00BA262F" w:rsidP="00BA262F">
      <w:pPr>
        <w:pStyle w:val="ListParagraph"/>
        <w:numPr>
          <w:ilvl w:val="2"/>
          <w:numId w:val="6"/>
        </w:numPr>
        <w:rPr>
          <w:rFonts w:ascii="Arial" w:hAnsi="Arial"/>
          <w:sz w:val="20"/>
          <w:szCs w:val="20"/>
        </w:rPr>
      </w:pPr>
      <w:r>
        <w:rPr>
          <w:rFonts w:ascii="Arial" w:hAnsi="Arial"/>
          <w:sz w:val="20"/>
          <w:szCs w:val="20"/>
        </w:rPr>
        <w:t>Steering Committee recommends only considering a new RRH project through the bonus, for the following reasons:</w:t>
      </w:r>
    </w:p>
    <w:p w14:paraId="3D94C1AF" w14:textId="77777777" w:rsidR="0063689E" w:rsidRPr="0063689E" w:rsidRDefault="0063689E" w:rsidP="0063689E">
      <w:pPr>
        <w:numPr>
          <w:ilvl w:val="3"/>
          <w:numId w:val="6"/>
        </w:numPr>
        <w:rPr>
          <w:rFonts w:ascii="Arial" w:hAnsi="Arial" w:cs="Arial"/>
          <w:color w:val="000000"/>
          <w:sz w:val="20"/>
          <w:szCs w:val="20"/>
        </w:rPr>
      </w:pPr>
      <w:r w:rsidRPr="0063689E">
        <w:rPr>
          <w:rFonts w:ascii="Arial" w:hAnsi="Arial" w:cs="Arial"/>
          <w:color w:val="000000"/>
          <w:sz w:val="20"/>
          <w:szCs w:val="20"/>
        </w:rPr>
        <w:t>For RRH </w:t>
      </w:r>
    </w:p>
    <w:p w14:paraId="0ED7221B" w14:textId="77777777" w:rsidR="0063689E" w:rsidRPr="0063689E" w:rsidRDefault="0063689E" w:rsidP="0063689E">
      <w:pPr>
        <w:numPr>
          <w:ilvl w:val="4"/>
          <w:numId w:val="6"/>
        </w:numPr>
        <w:rPr>
          <w:rFonts w:ascii="Arial" w:hAnsi="Arial" w:cs="Arial"/>
          <w:color w:val="000000"/>
          <w:sz w:val="20"/>
          <w:szCs w:val="20"/>
        </w:rPr>
      </w:pPr>
      <w:r w:rsidRPr="0063689E">
        <w:rPr>
          <w:rFonts w:ascii="Arial" w:hAnsi="Arial" w:cs="Arial"/>
          <w:color w:val="000000"/>
          <w:sz w:val="20"/>
          <w:szCs w:val="20"/>
        </w:rPr>
        <w:t xml:space="preserve">We have the most significant need for RRH, as identified in our </w:t>
      </w:r>
      <w:proofErr w:type="spellStart"/>
      <w:r w:rsidRPr="0063689E">
        <w:rPr>
          <w:rFonts w:ascii="Arial" w:hAnsi="Arial" w:cs="Arial"/>
          <w:color w:val="000000"/>
          <w:sz w:val="20"/>
          <w:szCs w:val="20"/>
        </w:rPr>
        <w:t>CoC</w:t>
      </w:r>
      <w:proofErr w:type="spellEnd"/>
      <w:r w:rsidRPr="0063689E">
        <w:rPr>
          <w:rFonts w:ascii="Arial" w:hAnsi="Arial" w:cs="Arial"/>
          <w:color w:val="000000"/>
          <w:sz w:val="20"/>
          <w:szCs w:val="20"/>
        </w:rPr>
        <w:t xml:space="preserve"> needs analysis</w:t>
      </w:r>
    </w:p>
    <w:p w14:paraId="6E441CE1" w14:textId="77777777" w:rsidR="0063689E" w:rsidRPr="0063689E" w:rsidRDefault="0063689E" w:rsidP="0063689E">
      <w:pPr>
        <w:numPr>
          <w:ilvl w:val="4"/>
          <w:numId w:val="6"/>
        </w:numPr>
        <w:rPr>
          <w:rFonts w:ascii="Arial" w:hAnsi="Arial" w:cs="Arial"/>
          <w:color w:val="000000"/>
          <w:sz w:val="20"/>
          <w:szCs w:val="20"/>
        </w:rPr>
      </w:pPr>
      <w:r w:rsidRPr="0063689E">
        <w:rPr>
          <w:rFonts w:ascii="Arial" w:hAnsi="Arial" w:cs="Arial"/>
          <w:color w:val="000000"/>
          <w:sz w:val="20"/>
          <w:szCs w:val="20"/>
        </w:rPr>
        <w:t>Many organizations already administer RRH, so grantees should be able to begin to implement new RRH project fairly quickly and easily</w:t>
      </w:r>
    </w:p>
    <w:p w14:paraId="4614D0FC" w14:textId="77777777" w:rsidR="0063689E" w:rsidRPr="0063689E" w:rsidRDefault="0063689E" w:rsidP="0063689E">
      <w:pPr>
        <w:numPr>
          <w:ilvl w:val="4"/>
          <w:numId w:val="6"/>
        </w:numPr>
        <w:rPr>
          <w:rFonts w:ascii="Arial" w:hAnsi="Arial" w:cs="Arial"/>
          <w:color w:val="000000"/>
          <w:sz w:val="20"/>
          <w:szCs w:val="20"/>
        </w:rPr>
      </w:pPr>
      <w:r w:rsidRPr="0063689E">
        <w:rPr>
          <w:rFonts w:ascii="Arial" w:hAnsi="Arial" w:cs="Arial"/>
          <w:color w:val="000000"/>
          <w:sz w:val="20"/>
          <w:szCs w:val="20"/>
        </w:rPr>
        <w:t>We could serve the most clients with a straightforward RRH project</w:t>
      </w:r>
    </w:p>
    <w:p w14:paraId="27A22718" w14:textId="77777777" w:rsidR="0063689E" w:rsidRPr="0063689E" w:rsidRDefault="0063689E" w:rsidP="0063689E">
      <w:pPr>
        <w:numPr>
          <w:ilvl w:val="3"/>
          <w:numId w:val="6"/>
        </w:numPr>
        <w:rPr>
          <w:rFonts w:ascii="Arial" w:hAnsi="Arial" w:cs="Arial"/>
          <w:color w:val="000000"/>
          <w:sz w:val="20"/>
          <w:szCs w:val="20"/>
        </w:rPr>
      </w:pPr>
      <w:r w:rsidRPr="0063689E">
        <w:rPr>
          <w:rFonts w:ascii="Arial" w:hAnsi="Arial" w:cs="Arial"/>
          <w:color w:val="000000"/>
          <w:sz w:val="20"/>
          <w:szCs w:val="20"/>
        </w:rPr>
        <w:t>Against Joint TH-RRH</w:t>
      </w:r>
    </w:p>
    <w:p w14:paraId="12C28B81" w14:textId="77777777" w:rsidR="0063689E" w:rsidRPr="0063689E" w:rsidRDefault="0063689E" w:rsidP="0063689E">
      <w:pPr>
        <w:numPr>
          <w:ilvl w:val="4"/>
          <w:numId w:val="6"/>
        </w:numPr>
        <w:rPr>
          <w:rFonts w:ascii="Arial" w:hAnsi="Arial" w:cs="Arial"/>
          <w:color w:val="000000"/>
          <w:sz w:val="20"/>
          <w:szCs w:val="20"/>
        </w:rPr>
      </w:pPr>
      <w:r w:rsidRPr="0063689E">
        <w:rPr>
          <w:rFonts w:ascii="Arial" w:hAnsi="Arial" w:cs="Arial"/>
          <w:color w:val="000000"/>
          <w:sz w:val="20"/>
          <w:szCs w:val="20"/>
        </w:rPr>
        <w:t xml:space="preserve">The Joint TH-RRH project type was intended to create crisis housing options in communities that don't currently have local shelters. Since we already have many DV shelters, I don’t believe we need more. </w:t>
      </w:r>
      <w:proofErr w:type="gramStart"/>
      <w:r w:rsidRPr="0063689E">
        <w:rPr>
          <w:rFonts w:ascii="Arial" w:hAnsi="Arial" w:cs="Arial"/>
          <w:color w:val="000000"/>
          <w:sz w:val="20"/>
          <w:szCs w:val="20"/>
        </w:rPr>
        <w:t>So</w:t>
      </w:r>
      <w:proofErr w:type="gramEnd"/>
      <w:r w:rsidRPr="0063689E">
        <w:rPr>
          <w:rFonts w:ascii="Arial" w:hAnsi="Arial" w:cs="Arial"/>
          <w:color w:val="000000"/>
          <w:sz w:val="20"/>
          <w:szCs w:val="20"/>
        </w:rPr>
        <w:t xml:space="preserve"> anyone applying for this funding would be directing funding towards existing projects, and, most likely, supplanting the current funding source.</w:t>
      </w:r>
    </w:p>
    <w:p w14:paraId="4C6E87CA" w14:textId="77777777" w:rsidR="0063689E" w:rsidRPr="0063689E" w:rsidRDefault="0063689E" w:rsidP="0063689E">
      <w:pPr>
        <w:numPr>
          <w:ilvl w:val="4"/>
          <w:numId w:val="6"/>
        </w:numPr>
        <w:rPr>
          <w:rFonts w:ascii="Arial" w:hAnsi="Arial" w:cs="Arial"/>
          <w:color w:val="000000"/>
          <w:sz w:val="20"/>
          <w:szCs w:val="20"/>
        </w:rPr>
      </w:pPr>
      <w:r w:rsidRPr="0063689E">
        <w:rPr>
          <w:rFonts w:ascii="Arial" w:hAnsi="Arial" w:cs="Arial"/>
          <w:color w:val="000000"/>
          <w:sz w:val="20"/>
          <w:szCs w:val="20"/>
        </w:rPr>
        <w:t>If we applied for Joint TH-RRH, we would permanently house fewer clients than with an RRH project only</w:t>
      </w:r>
    </w:p>
    <w:p w14:paraId="475C2580" w14:textId="77777777" w:rsidR="0063689E" w:rsidRPr="0063689E" w:rsidRDefault="0063689E" w:rsidP="0063689E">
      <w:pPr>
        <w:numPr>
          <w:ilvl w:val="3"/>
          <w:numId w:val="6"/>
        </w:numPr>
        <w:rPr>
          <w:rFonts w:ascii="Arial" w:hAnsi="Arial" w:cs="Arial"/>
          <w:color w:val="000000"/>
          <w:sz w:val="20"/>
          <w:szCs w:val="20"/>
        </w:rPr>
      </w:pPr>
      <w:r w:rsidRPr="0063689E">
        <w:rPr>
          <w:rFonts w:ascii="Arial" w:hAnsi="Arial" w:cs="Arial"/>
          <w:color w:val="000000"/>
          <w:sz w:val="20"/>
          <w:szCs w:val="20"/>
        </w:rPr>
        <w:t>Against CE</w:t>
      </w:r>
    </w:p>
    <w:p w14:paraId="35178687" w14:textId="77777777" w:rsidR="0063689E" w:rsidRPr="0063689E" w:rsidRDefault="0063689E" w:rsidP="0063689E">
      <w:pPr>
        <w:numPr>
          <w:ilvl w:val="4"/>
          <w:numId w:val="6"/>
        </w:numPr>
        <w:rPr>
          <w:rFonts w:ascii="Arial" w:hAnsi="Arial" w:cs="Arial"/>
          <w:color w:val="000000"/>
          <w:sz w:val="20"/>
          <w:szCs w:val="20"/>
        </w:rPr>
      </w:pPr>
      <w:r w:rsidRPr="0063689E">
        <w:rPr>
          <w:rFonts w:ascii="Arial" w:hAnsi="Arial" w:cs="Arial"/>
          <w:color w:val="000000"/>
          <w:sz w:val="20"/>
          <w:szCs w:val="20"/>
        </w:rPr>
        <w:t>We have not applied for any CE grants from HUD at all, so it would not be fair to apply for one only focused on DV clients. That would mean DV projects would get money to support their CE activities, but all the other homeless projects would not, even though they are all doing roughly the same thing</w:t>
      </w:r>
    </w:p>
    <w:p w14:paraId="6290B984" w14:textId="77777777" w:rsidR="0063689E" w:rsidRPr="0063689E" w:rsidRDefault="0063689E" w:rsidP="0063689E">
      <w:pPr>
        <w:numPr>
          <w:ilvl w:val="4"/>
          <w:numId w:val="6"/>
        </w:numPr>
        <w:rPr>
          <w:rFonts w:ascii="Arial" w:hAnsi="Arial" w:cs="Arial"/>
          <w:color w:val="000000"/>
          <w:sz w:val="20"/>
          <w:szCs w:val="20"/>
        </w:rPr>
      </w:pPr>
      <w:r w:rsidRPr="0063689E">
        <w:rPr>
          <w:rFonts w:ascii="Arial" w:hAnsi="Arial" w:cs="Arial"/>
          <w:color w:val="000000"/>
          <w:sz w:val="20"/>
          <w:szCs w:val="20"/>
        </w:rPr>
        <w:t>Since we don’t have a centralized CE process or access point, this money would have to distributed across many organizations, but I don’t think there would be enough to share with all DV shelters in a meaningful way.</w:t>
      </w:r>
    </w:p>
    <w:p w14:paraId="41357D55" w14:textId="28A88457" w:rsidR="00BA262F" w:rsidRDefault="0063689E" w:rsidP="00BA262F">
      <w:pPr>
        <w:pStyle w:val="ListParagraph"/>
        <w:numPr>
          <w:ilvl w:val="3"/>
          <w:numId w:val="6"/>
        </w:numPr>
        <w:rPr>
          <w:rFonts w:ascii="Arial" w:hAnsi="Arial"/>
          <w:sz w:val="20"/>
          <w:szCs w:val="20"/>
        </w:rPr>
      </w:pPr>
      <w:r>
        <w:rPr>
          <w:rFonts w:ascii="Arial" w:hAnsi="Arial"/>
          <w:sz w:val="20"/>
          <w:szCs w:val="20"/>
        </w:rPr>
        <w:t>The Steering Committee is further recommending the use of an RFP process to identify a high quality DV Bonus RRH project application that, ideally, can serve a larger geographic area</w:t>
      </w:r>
    </w:p>
    <w:p w14:paraId="4F52703C" w14:textId="1BCD2FAB" w:rsidR="0063689E" w:rsidRDefault="0063689E" w:rsidP="00BA262F">
      <w:pPr>
        <w:pStyle w:val="ListParagraph"/>
        <w:numPr>
          <w:ilvl w:val="3"/>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Board members asked if the RFP would possible allow for the RRH Ohio project, or that model, to be used to administer the DV Bonus RRH project. Erica indicated that would be a possibility</w:t>
      </w:r>
    </w:p>
    <w:p w14:paraId="63E9CF93" w14:textId="52464C4E" w:rsidR="0063689E" w:rsidRDefault="0063689E" w:rsidP="00BA262F">
      <w:pPr>
        <w:pStyle w:val="ListParagraph"/>
        <w:numPr>
          <w:ilvl w:val="3"/>
          <w:numId w:val="6"/>
        </w:numPr>
        <w:rPr>
          <w:rFonts w:ascii="Arial" w:hAnsi="Arial"/>
          <w:sz w:val="20"/>
          <w:szCs w:val="20"/>
        </w:rPr>
      </w:pPr>
      <w:r>
        <w:rPr>
          <w:rFonts w:ascii="Arial" w:hAnsi="Arial"/>
          <w:sz w:val="20"/>
          <w:szCs w:val="20"/>
        </w:rPr>
        <w:t xml:space="preserve">Since the Steering Committee’s recommendations aligned with the </w:t>
      </w:r>
      <w:proofErr w:type="spellStart"/>
      <w:r>
        <w:rPr>
          <w:rFonts w:ascii="Arial" w:hAnsi="Arial"/>
          <w:sz w:val="20"/>
          <w:szCs w:val="20"/>
        </w:rPr>
        <w:t>CoC</w:t>
      </w:r>
      <w:proofErr w:type="spellEnd"/>
      <w:r>
        <w:rPr>
          <w:rFonts w:ascii="Arial" w:hAnsi="Arial"/>
          <w:sz w:val="20"/>
          <w:szCs w:val="20"/>
        </w:rPr>
        <w:t xml:space="preserve"> board’s previously identified priority of creating new RRH in the </w:t>
      </w:r>
      <w:proofErr w:type="spellStart"/>
      <w:r>
        <w:rPr>
          <w:rFonts w:ascii="Arial" w:hAnsi="Arial"/>
          <w:sz w:val="20"/>
          <w:szCs w:val="20"/>
        </w:rPr>
        <w:t>CoC</w:t>
      </w:r>
      <w:proofErr w:type="spellEnd"/>
      <w:r>
        <w:rPr>
          <w:rFonts w:ascii="Arial" w:hAnsi="Arial"/>
          <w:sz w:val="20"/>
          <w:szCs w:val="20"/>
        </w:rPr>
        <w:t xml:space="preserve">, the </w:t>
      </w:r>
      <w:proofErr w:type="spellStart"/>
      <w:r>
        <w:rPr>
          <w:rFonts w:ascii="Arial" w:hAnsi="Arial"/>
          <w:sz w:val="20"/>
          <w:szCs w:val="20"/>
        </w:rPr>
        <w:t>CoC</w:t>
      </w:r>
      <w:proofErr w:type="spellEnd"/>
      <w:r>
        <w:rPr>
          <w:rFonts w:ascii="Arial" w:hAnsi="Arial"/>
          <w:sz w:val="20"/>
          <w:szCs w:val="20"/>
        </w:rPr>
        <w:t xml:space="preserve"> Board came to consensus agreement to move forward with the Steering Committee’s recommendations related to using an RFP to identify and submit a new RRH project for DV Bonus funding</w:t>
      </w:r>
    </w:p>
    <w:p w14:paraId="6529D9F0" w14:textId="77777777" w:rsidR="0063689E" w:rsidRDefault="0063689E" w:rsidP="0063689E">
      <w:pPr>
        <w:pStyle w:val="ListParagraph"/>
        <w:ind w:left="360"/>
        <w:rPr>
          <w:rFonts w:ascii="Arial" w:hAnsi="Arial"/>
          <w:sz w:val="20"/>
          <w:szCs w:val="20"/>
        </w:rPr>
      </w:pPr>
    </w:p>
    <w:p w14:paraId="7A8815D2" w14:textId="6CD5387B" w:rsidR="003C2A80" w:rsidRDefault="003C2A80" w:rsidP="00C64360">
      <w:pPr>
        <w:pStyle w:val="ListParagraph"/>
        <w:numPr>
          <w:ilvl w:val="0"/>
          <w:numId w:val="6"/>
        </w:numPr>
        <w:rPr>
          <w:rFonts w:ascii="Arial" w:hAnsi="Arial"/>
          <w:sz w:val="20"/>
          <w:szCs w:val="20"/>
        </w:rPr>
      </w:pPr>
      <w:r>
        <w:rPr>
          <w:rFonts w:ascii="Arial" w:hAnsi="Arial"/>
          <w:sz w:val="20"/>
          <w:szCs w:val="20"/>
        </w:rPr>
        <w:t>Timeline and expectations</w:t>
      </w:r>
    </w:p>
    <w:p w14:paraId="6DEA3FCC" w14:textId="4757A9FB" w:rsidR="0063689E" w:rsidRDefault="0063689E" w:rsidP="0063689E">
      <w:pPr>
        <w:pStyle w:val="ListParagraph"/>
        <w:numPr>
          <w:ilvl w:val="1"/>
          <w:numId w:val="6"/>
        </w:numPr>
        <w:rPr>
          <w:rFonts w:ascii="Arial" w:hAnsi="Arial"/>
          <w:sz w:val="20"/>
          <w:szCs w:val="20"/>
        </w:rPr>
      </w:pPr>
      <w:proofErr w:type="spellStart"/>
      <w:r>
        <w:rPr>
          <w:rFonts w:ascii="Arial" w:hAnsi="Arial"/>
          <w:sz w:val="20"/>
          <w:szCs w:val="20"/>
        </w:rPr>
        <w:lastRenderedPageBreak/>
        <w:t>CoC</w:t>
      </w:r>
      <w:proofErr w:type="spellEnd"/>
      <w:r>
        <w:rPr>
          <w:rFonts w:ascii="Arial" w:hAnsi="Arial"/>
          <w:sz w:val="20"/>
          <w:szCs w:val="20"/>
        </w:rPr>
        <w:t xml:space="preserve"> staff indicated that they are currently working on updating </w:t>
      </w:r>
      <w:proofErr w:type="spellStart"/>
      <w:r>
        <w:rPr>
          <w:rFonts w:ascii="Arial" w:hAnsi="Arial"/>
          <w:sz w:val="20"/>
          <w:szCs w:val="20"/>
        </w:rPr>
        <w:t>BoSCoC</w:t>
      </w:r>
      <w:proofErr w:type="spellEnd"/>
      <w:r>
        <w:rPr>
          <w:rFonts w:ascii="Arial" w:hAnsi="Arial"/>
          <w:sz w:val="20"/>
          <w:szCs w:val="20"/>
        </w:rPr>
        <w:t xml:space="preserve"> timelines for submission and completion of applications for the FY18 </w:t>
      </w:r>
      <w:proofErr w:type="spellStart"/>
      <w:r>
        <w:rPr>
          <w:rFonts w:ascii="Arial" w:hAnsi="Arial"/>
          <w:sz w:val="20"/>
          <w:szCs w:val="20"/>
        </w:rPr>
        <w:t>CoC</w:t>
      </w:r>
      <w:proofErr w:type="spellEnd"/>
      <w:r>
        <w:rPr>
          <w:rFonts w:ascii="Arial" w:hAnsi="Arial"/>
          <w:sz w:val="20"/>
          <w:szCs w:val="20"/>
        </w:rPr>
        <w:t xml:space="preserve"> Competition. </w:t>
      </w:r>
      <w:proofErr w:type="spellStart"/>
      <w:r>
        <w:rPr>
          <w:rFonts w:ascii="Arial" w:hAnsi="Arial"/>
          <w:sz w:val="20"/>
          <w:szCs w:val="20"/>
        </w:rPr>
        <w:t>CoC</w:t>
      </w:r>
      <w:proofErr w:type="spellEnd"/>
      <w:r>
        <w:rPr>
          <w:rFonts w:ascii="Arial" w:hAnsi="Arial"/>
          <w:sz w:val="20"/>
          <w:szCs w:val="20"/>
        </w:rPr>
        <w:t xml:space="preserve"> Staff anticipate that proposals for new bonus funding projects will be due early August. </w:t>
      </w:r>
    </w:p>
    <w:p w14:paraId="36BB37C7" w14:textId="0920D01D" w:rsidR="0063689E" w:rsidRDefault="0063689E" w:rsidP="0063689E">
      <w:pPr>
        <w:pStyle w:val="ListParagraph"/>
        <w:numPr>
          <w:ilvl w:val="1"/>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staff plan to roll out the RFPs ASAP.</w:t>
      </w:r>
    </w:p>
    <w:p w14:paraId="51BA22C8" w14:textId="77777777" w:rsidR="003C2A80" w:rsidRDefault="003C2A80" w:rsidP="003C2A80">
      <w:pPr>
        <w:rPr>
          <w:rFonts w:ascii="Arial" w:hAnsi="Arial"/>
          <w:sz w:val="20"/>
          <w:szCs w:val="20"/>
        </w:rPr>
      </w:pPr>
    </w:p>
    <w:p w14:paraId="4D005819" w14:textId="694A9C74" w:rsidR="003C2A80" w:rsidRDefault="003C2A80" w:rsidP="003C2A80">
      <w:pPr>
        <w:pStyle w:val="ListParagraph"/>
        <w:numPr>
          <w:ilvl w:val="0"/>
          <w:numId w:val="6"/>
        </w:numPr>
        <w:rPr>
          <w:rFonts w:ascii="Arial" w:hAnsi="Arial"/>
          <w:sz w:val="20"/>
          <w:szCs w:val="20"/>
        </w:rPr>
      </w:pPr>
      <w:r>
        <w:rPr>
          <w:rFonts w:ascii="Arial" w:hAnsi="Arial"/>
          <w:sz w:val="20"/>
          <w:szCs w:val="20"/>
        </w:rPr>
        <w:t xml:space="preserve">FY2017 </w:t>
      </w:r>
      <w:proofErr w:type="spellStart"/>
      <w:r>
        <w:rPr>
          <w:rFonts w:ascii="Arial" w:hAnsi="Arial"/>
          <w:sz w:val="20"/>
          <w:szCs w:val="20"/>
        </w:rPr>
        <w:t>CoC</w:t>
      </w:r>
      <w:proofErr w:type="spellEnd"/>
      <w:r>
        <w:rPr>
          <w:rFonts w:ascii="Arial" w:hAnsi="Arial"/>
          <w:sz w:val="20"/>
          <w:szCs w:val="20"/>
        </w:rPr>
        <w:t xml:space="preserve"> Competition Update</w:t>
      </w:r>
    </w:p>
    <w:p w14:paraId="09FA7AED" w14:textId="6E60FD7B" w:rsidR="003C2A80" w:rsidRDefault="003C2A80" w:rsidP="003C2A80">
      <w:pPr>
        <w:pStyle w:val="ListParagraph"/>
        <w:numPr>
          <w:ilvl w:val="1"/>
          <w:numId w:val="6"/>
        </w:numPr>
        <w:rPr>
          <w:rFonts w:ascii="Arial" w:hAnsi="Arial"/>
          <w:sz w:val="20"/>
          <w:szCs w:val="20"/>
        </w:rPr>
      </w:pPr>
      <w:r>
        <w:rPr>
          <w:rFonts w:ascii="Arial" w:hAnsi="Arial"/>
          <w:sz w:val="20"/>
          <w:szCs w:val="20"/>
        </w:rPr>
        <w:t>Appeal status</w:t>
      </w:r>
    </w:p>
    <w:p w14:paraId="4ADC986A" w14:textId="119F7D78" w:rsidR="0063689E" w:rsidRDefault="0063689E" w:rsidP="0063689E">
      <w:pPr>
        <w:pStyle w:val="ListParagraph"/>
        <w:numPr>
          <w:ilvl w:val="2"/>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staff shared that, with approval from the Steering Committee, they are working on submitting an appeal of FY17 </w:t>
      </w:r>
      <w:proofErr w:type="spellStart"/>
      <w:r>
        <w:rPr>
          <w:rFonts w:ascii="Arial" w:hAnsi="Arial"/>
          <w:sz w:val="20"/>
          <w:szCs w:val="20"/>
        </w:rPr>
        <w:t>CoC</w:t>
      </w:r>
      <w:proofErr w:type="spellEnd"/>
      <w:r>
        <w:rPr>
          <w:rFonts w:ascii="Arial" w:hAnsi="Arial"/>
          <w:sz w:val="20"/>
          <w:szCs w:val="20"/>
        </w:rPr>
        <w:t xml:space="preserve"> Application score results. </w:t>
      </w:r>
    </w:p>
    <w:p w14:paraId="5066C4FA" w14:textId="5DB3C50F" w:rsidR="0063689E" w:rsidRDefault="0063689E" w:rsidP="0063689E">
      <w:pPr>
        <w:pStyle w:val="ListParagraph"/>
        <w:numPr>
          <w:ilvl w:val="2"/>
          <w:numId w:val="6"/>
        </w:numPr>
        <w:rPr>
          <w:rFonts w:ascii="Arial" w:hAnsi="Arial"/>
          <w:sz w:val="20"/>
          <w:szCs w:val="20"/>
        </w:rPr>
      </w:pPr>
      <w:r>
        <w:rPr>
          <w:rFonts w:ascii="Arial" w:hAnsi="Arial"/>
          <w:sz w:val="20"/>
          <w:szCs w:val="20"/>
        </w:rPr>
        <w:t>Appeal is due by July 18</w:t>
      </w:r>
      <w:r w:rsidRPr="0063689E">
        <w:rPr>
          <w:rFonts w:ascii="Arial" w:hAnsi="Arial"/>
          <w:sz w:val="20"/>
          <w:szCs w:val="20"/>
          <w:vertAlign w:val="superscript"/>
        </w:rPr>
        <w:t>th</w:t>
      </w:r>
    </w:p>
    <w:p w14:paraId="2E9D257C" w14:textId="66FB25B3" w:rsidR="0063689E" w:rsidRPr="003C2A80" w:rsidRDefault="0063689E" w:rsidP="0063689E">
      <w:pPr>
        <w:pStyle w:val="ListParagraph"/>
        <w:numPr>
          <w:ilvl w:val="2"/>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staff will share the FY17 </w:t>
      </w:r>
      <w:proofErr w:type="spellStart"/>
      <w:r>
        <w:rPr>
          <w:rFonts w:ascii="Arial" w:hAnsi="Arial"/>
          <w:sz w:val="20"/>
          <w:szCs w:val="20"/>
        </w:rPr>
        <w:t>CoC</w:t>
      </w:r>
      <w:proofErr w:type="spellEnd"/>
      <w:r>
        <w:rPr>
          <w:rFonts w:ascii="Arial" w:hAnsi="Arial"/>
          <w:sz w:val="20"/>
          <w:szCs w:val="20"/>
        </w:rPr>
        <w:t xml:space="preserve"> App debrief information and the detailed analysis </w:t>
      </w:r>
      <w:proofErr w:type="spellStart"/>
      <w:r>
        <w:rPr>
          <w:rFonts w:ascii="Arial" w:hAnsi="Arial"/>
          <w:sz w:val="20"/>
          <w:szCs w:val="20"/>
        </w:rPr>
        <w:t>Coc</w:t>
      </w:r>
      <w:proofErr w:type="spellEnd"/>
      <w:r>
        <w:rPr>
          <w:rFonts w:ascii="Arial" w:hAnsi="Arial"/>
          <w:sz w:val="20"/>
          <w:szCs w:val="20"/>
        </w:rPr>
        <w:t xml:space="preserve"> completed in order to determine if an appeal was warranted with the </w:t>
      </w:r>
      <w:proofErr w:type="spellStart"/>
      <w:r>
        <w:rPr>
          <w:rFonts w:ascii="Arial" w:hAnsi="Arial"/>
          <w:sz w:val="20"/>
          <w:szCs w:val="20"/>
        </w:rPr>
        <w:t>CoC</w:t>
      </w:r>
      <w:proofErr w:type="spellEnd"/>
      <w:r>
        <w:rPr>
          <w:rFonts w:ascii="Arial" w:hAnsi="Arial"/>
          <w:sz w:val="20"/>
          <w:szCs w:val="20"/>
        </w:rPr>
        <w:t xml:space="preserve"> Board along with these meeting notes. </w:t>
      </w:r>
    </w:p>
    <w:p w14:paraId="699D6C1D" w14:textId="77777777" w:rsidR="006969C7" w:rsidRPr="006969C7" w:rsidRDefault="006969C7" w:rsidP="006969C7">
      <w:pPr>
        <w:rPr>
          <w:rFonts w:ascii="Arial" w:hAnsi="Arial"/>
          <w:sz w:val="20"/>
          <w:szCs w:val="20"/>
        </w:rPr>
      </w:pPr>
    </w:p>
    <w:p w14:paraId="59E543EA" w14:textId="77777777" w:rsidR="008C2037" w:rsidRDefault="008C2037" w:rsidP="008C2037">
      <w:pPr>
        <w:pStyle w:val="ListParagraph"/>
        <w:ind w:left="1080"/>
        <w:rPr>
          <w:rFonts w:ascii="Arial" w:hAnsi="Arial"/>
          <w:sz w:val="20"/>
          <w:szCs w:val="20"/>
        </w:rPr>
      </w:pPr>
    </w:p>
    <w:p w14:paraId="592E44B4" w14:textId="77777777" w:rsidR="00DA278E" w:rsidRPr="001659F3" w:rsidRDefault="00DA278E" w:rsidP="001659F3">
      <w:pPr>
        <w:rPr>
          <w:rFonts w:ascii="Arial" w:hAnsi="Arial"/>
          <w:sz w:val="20"/>
          <w:szCs w:val="20"/>
        </w:rPr>
      </w:pPr>
    </w:p>
    <w:p w14:paraId="0D3CB766" w14:textId="77777777" w:rsidR="001950E6" w:rsidRPr="00FA2BE2" w:rsidRDefault="001950E6" w:rsidP="00E25346">
      <w:pPr>
        <w:rPr>
          <w:rFonts w:ascii="Arial" w:hAnsi="Arial"/>
          <w:sz w:val="20"/>
          <w:szCs w:val="20"/>
        </w:rPr>
      </w:pPr>
    </w:p>
    <w:p w14:paraId="4C178BB3" w14:textId="77777777" w:rsidR="003204E5" w:rsidRPr="00CD142E" w:rsidRDefault="003204E5" w:rsidP="003204E5">
      <w:pPr>
        <w:ind w:left="360"/>
        <w:rPr>
          <w:rFonts w:ascii="Arial" w:hAnsi="Arial"/>
        </w:rPr>
      </w:pPr>
    </w:p>
    <w:p w14:paraId="3E5729FE" w14:textId="77777777" w:rsidR="003204E5" w:rsidRPr="00CD142E" w:rsidRDefault="003204E5" w:rsidP="003204E5">
      <w:pPr>
        <w:ind w:left="360"/>
        <w:rPr>
          <w:rFonts w:ascii="Arial" w:hAnsi="Arial"/>
        </w:rPr>
      </w:pPr>
    </w:p>
    <w:p w14:paraId="30F2D88E" w14:textId="38D03355" w:rsidR="008C5109" w:rsidRDefault="008C5109"/>
    <w:p w14:paraId="7F585C28" w14:textId="77777777" w:rsidR="008C5109" w:rsidRPr="008C5109" w:rsidRDefault="008C5109" w:rsidP="008C5109"/>
    <w:p w14:paraId="1E3AC99E" w14:textId="77777777" w:rsidR="008C5109" w:rsidRPr="008C5109" w:rsidRDefault="008C5109" w:rsidP="008C5109"/>
    <w:p w14:paraId="77E44C07" w14:textId="77777777" w:rsidR="008C5109" w:rsidRPr="008C5109" w:rsidRDefault="008C5109" w:rsidP="008C5109"/>
    <w:p w14:paraId="638AA59F" w14:textId="77777777" w:rsidR="008C5109" w:rsidRPr="008C5109" w:rsidRDefault="008C5109" w:rsidP="008C5109"/>
    <w:p w14:paraId="08866379" w14:textId="77777777" w:rsidR="008C5109" w:rsidRPr="008C5109" w:rsidRDefault="008C5109" w:rsidP="008C5109"/>
    <w:p w14:paraId="4FCE6162" w14:textId="77777777" w:rsidR="008C5109" w:rsidRPr="008C5109" w:rsidRDefault="008C5109" w:rsidP="008C5109"/>
    <w:p w14:paraId="0FE9CB78" w14:textId="77777777" w:rsidR="0063689E" w:rsidRDefault="0063689E" w:rsidP="008C5109">
      <w:pPr>
        <w:rPr>
          <w:rFonts w:ascii="Arial" w:hAnsi="Arial"/>
          <w:b/>
          <w:u w:val="single"/>
        </w:rPr>
      </w:pPr>
    </w:p>
    <w:p w14:paraId="172F7664" w14:textId="77777777" w:rsidR="0063689E" w:rsidRDefault="0063689E" w:rsidP="008C5109">
      <w:pPr>
        <w:rPr>
          <w:rFonts w:ascii="Arial" w:hAnsi="Arial"/>
          <w:b/>
          <w:u w:val="single"/>
        </w:rPr>
      </w:pPr>
    </w:p>
    <w:p w14:paraId="12DD8BDC" w14:textId="77777777" w:rsidR="0063689E" w:rsidRDefault="0063689E" w:rsidP="008C5109">
      <w:pPr>
        <w:rPr>
          <w:rFonts w:ascii="Arial" w:hAnsi="Arial"/>
          <w:b/>
          <w:u w:val="single"/>
        </w:rPr>
      </w:pPr>
    </w:p>
    <w:p w14:paraId="584B2CDE" w14:textId="77777777" w:rsidR="0063689E" w:rsidRDefault="0063689E" w:rsidP="008C5109">
      <w:pPr>
        <w:rPr>
          <w:rFonts w:ascii="Arial" w:hAnsi="Arial"/>
          <w:b/>
          <w:u w:val="single"/>
        </w:rPr>
      </w:pPr>
    </w:p>
    <w:p w14:paraId="57053875" w14:textId="77777777" w:rsidR="0063689E" w:rsidRDefault="0063689E" w:rsidP="008C5109">
      <w:pPr>
        <w:rPr>
          <w:rFonts w:ascii="Arial" w:hAnsi="Arial"/>
          <w:b/>
          <w:u w:val="single"/>
        </w:rPr>
      </w:pPr>
    </w:p>
    <w:p w14:paraId="7E53CB59" w14:textId="77777777" w:rsidR="0063689E" w:rsidRDefault="0063689E" w:rsidP="008C5109">
      <w:pPr>
        <w:rPr>
          <w:rFonts w:ascii="Arial" w:hAnsi="Arial"/>
          <w:b/>
          <w:u w:val="single"/>
        </w:rPr>
      </w:pPr>
    </w:p>
    <w:p w14:paraId="6FAD1648" w14:textId="77777777" w:rsidR="0063689E" w:rsidRDefault="0063689E" w:rsidP="008C5109">
      <w:pPr>
        <w:rPr>
          <w:rFonts w:ascii="Arial" w:hAnsi="Arial"/>
          <w:b/>
          <w:u w:val="single"/>
        </w:rPr>
      </w:pPr>
    </w:p>
    <w:p w14:paraId="5E3CB939" w14:textId="77777777" w:rsidR="0063689E" w:rsidRDefault="0063689E" w:rsidP="008C5109">
      <w:pPr>
        <w:rPr>
          <w:rFonts w:ascii="Arial" w:hAnsi="Arial"/>
          <w:b/>
          <w:u w:val="single"/>
        </w:rPr>
      </w:pPr>
    </w:p>
    <w:p w14:paraId="5A9A9D4B" w14:textId="77777777" w:rsidR="0063689E" w:rsidRDefault="0063689E" w:rsidP="008C5109">
      <w:pPr>
        <w:rPr>
          <w:rFonts w:ascii="Arial" w:hAnsi="Arial"/>
          <w:b/>
          <w:u w:val="single"/>
        </w:rPr>
      </w:pPr>
    </w:p>
    <w:p w14:paraId="78911B10" w14:textId="77777777" w:rsidR="0063689E" w:rsidRDefault="0063689E" w:rsidP="008C5109">
      <w:pPr>
        <w:rPr>
          <w:rFonts w:ascii="Arial" w:hAnsi="Arial"/>
          <w:b/>
          <w:u w:val="single"/>
        </w:rPr>
      </w:pPr>
    </w:p>
    <w:p w14:paraId="71C82653" w14:textId="77777777" w:rsidR="0063689E" w:rsidRDefault="0063689E" w:rsidP="008C5109">
      <w:pPr>
        <w:rPr>
          <w:rFonts w:ascii="Arial" w:hAnsi="Arial"/>
          <w:b/>
          <w:u w:val="single"/>
        </w:rPr>
      </w:pPr>
    </w:p>
    <w:p w14:paraId="2673458D" w14:textId="77777777" w:rsidR="0063689E" w:rsidRDefault="0063689E" w:rsidP="008C5109">
      <w:pPr>
        <w:rPr>
          <w:rFonts w:ascii="Arial" w:hAnsi="Arial"/>
          <w:b/>
          <w:u w:val="single"/>
        </w:rPr>
      </w:pPr>
    </w:p>
    <w:p w14:paraId="2F3FEE64" w14:textId="77777777" w:rsidR="0063689E" w:rsidRDefault="0063689E" w:rsidP="008C5109">
      <w:pPr>
        <w:rPr>
          <w:rFonts w:ascii="Arial" w:hAnsi="Arial"/>
          <w:b/>
          <w:u w:val="single"/>
        </w:rPr>
      </w:pPr>
    </w:p>
    <w:p w14:paraId="42A946B3" w14:textId="77777777" w:rsidR="0063689E" w:rsidRDefault="0063689E" w:rsidP="008C5109">
      <w:pPr>
        <w:rPr>
          <w:rFonts w:ascii="Arial" w:hAnsi="Arial"/>
          <w:b/>
          <w:u w:val="single"/>
        </w:rPr>
      </w:pPr>
    </w:p>
    <w:p w14:paraId="730A08BB" w14:textId="77777777" w:rsidR="0063689E" w:rsidRDefault="0063689E" w:rsidP="008C5109">
      <w:pPr>
        <w:rPr>
          <w:rFonts w:ascii="Arial" w:hAnsi="Arial"/>
          <w:b/>
          <w:u w:val="single"/>
        </w:rPr>
      </w:pPr>
    </w:p>
    <w:p w14:paraId="62FDE79E" w14:textId="77777777" w:rsidR="0063689E" w:rsidRDefault="0063689E" w:rsidP="008C5109">
      <w:pPr>
        <w:rPr>
          <w:rFonts w:ascii="Arial" w:hAnsi="Arial"/>
          <w:b/>
          <w:u w:val="single"/>
        </w:rPr>
      </w:pPr>
    </w:p>
    <w:p w14:paraId="41AB71A3" w14:textId="77777777" w:rsidR="0063689E" w:rsidRDefault="0063689E" w:rsidP="008C5109">
      <w:pPr>
        <w:rPr>
          <w:rFonts w:ascii="Arial" w:hAnsi="Arial"/>
          <w:b/>
          <w:u w:val="single"/>
        </w:rPr>
      </w:pPr>
    </w:p>
    <w:p w14:paraId="693360DD" w14:textId="77777777" w:rsidR="0063689E" w:rsidRDefault="0063689E" w:rsidP="008C5109">
      <w:pPr>
        <w:rPr>
          <w:rFonts w:ascii="Arial" w:hAnsi="Arial"/>
          <w:b/>
          <w:u w:val="single"/>
        </w:rPr>
      </w:pPr>
    </w:p>
    <w:p w14:paraId="35A7008A" w14:textId="1C022CB7" w:rsidR="008C5109" w:rsidRPr="008C5109" w:rsidRDefault="008C5109" w:rsidP="008C5109">
      <w:pPr>
        <w:rPr>
          <w:rFonts w:ascii="Arial" w:hAnsi="Arial"/>
          <w:b/>
          <w:u w:val="single"/>
        </w:rPr>
      </w:pPr>
      <w:bookmarkStart w:id="0" w:name="_GoBack"/>
      <w:bookmarkEnd w:id="0"/>
      <w:r>
        <w:rPr>
          <w:rFonts w:ascii="Arial" w:hAnsi="Arial"/>
          <w:b/>
          <w:u w:val="single"/>
        </w:rPr>
        <w:t>NEXT MEETING</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7CA4432" w14:textId="77777777" w:rsidR="003204E5" w:rsidRDefault="003204E5" w:rsidP="008C5109"/>
    <w:p w14:paraId="3419BD93" w14:textId="5B8501A0"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DE10F4">
        <w:rPr>
          <w:rFonts w:ascii="Arial" w:hAnsi="Arial"/>
          <w:sz w:val="20"/>
          <w:szCs w:val="20"/>
        </w:rPr>
        <w:t xml:space="preserve">Monday, </w:t>
      </w:r>
      <w:r w:rsidR="001659F3">
        <w:rPr>
          <w:rFonts w:ascii="Arial" w:hAnsi="Arial"/>
          <w:sz w:val="20"/>
          <w:szCs w:val="20"/>
        </w:rPr>
        <w:t>July 23, 2018 at 10am</w:t>
      </w:r>
    </w:p>
    <w:p w14:paraId="0C1E6465" w14:textId="2458B334" w:rsidR="008C5109"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r w:rsidR="008C2037">
        <w:rPr>
          <w:rFonts w:ascii="Arial" w:hAnsi="Arial"/>
          <w:sz w:val="20"/>
          <w:szCs w:val="20"/>
        </w:rPr>
        <w:t xml:space="preserve">Webinar and Conference Call </w:t>
      </w:r>
      <w:r w:rsidR="000F473F">
        <w:rPr>
          <w:rFonts w:ascii="Arial" w:hAnsi="Arial"/>
          <w:sz w:val="20"/>
          <w:szCs w:val="20"/>
        </w:rPr>
        <w:t xml:space="preserve"> </w:t>
      </w:r>
    </w:p>
    <w:p w14:paraId="2A80472F" w14:textId="70FFDA34" w:rsidR="001659F3" w:rsidRPr="00404D55" w:rsidRDefault="001659F3" w:rsidP="008C5109">
      <w:pPr>
        <w:rPr>
          <w:rFonts w:ascii="Arial" w:hAnsi="Arial"/>
          <w:sz w:val="20"/>
          <w:szCs w:val="20"/>
        </w:rPr>
      </w:pPr>
    </w:p>
    <w:p w14:paraId="340942B5" w14:textId="77777777" w:rsidR="008C5109" w:rsidRPr="008C5109" w:rsidRDefault="008C5109" w:rsidP="008C5109"/>
    <w:sectPr w:rsidR="008C5109" w:rsidRPr="008C5109" w:rsidSect="0063689E">
      <w:footerReference w:type="default" r:id="rId7"/>
      <w:pgSz w:w="12240" w:h="15840"/>
      <w:pgMar w:top="720" w:right="720" w:bottom="720" w:left="720" w:header="720" w:footer="17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1EAE" w14:textId="77777777" w:rsidR="006F1E8A" w:rsidRDefault="006F1E8A" w:rsidP="00AD5CF3">
      <w:r>
        <w:separator/>
      </w:r>
    </w:p>
  </w:endnote>
  <w:endnote w:type="continuationSeparator" w:id="0">
    <w:p w14:paraId="2015EEF6" w14:textId="77777777" w:rsidR="006F1E8A" w:rsidRDefault="006F1E8A"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DA50" w14:textId="45704145" w:rsidR="008C2037" w:rsidRDefault="001659F3" w:rsidP="00AD5CF3">
    <w:pPr>
      <w:pStyle w:val="Footer"/>
      <w:jc w:val="center"/>
    </w:pPr>
    <w:r w:rsidRPr="001659F3">
      <w:rPr>
        <w:noProof/>
      </w:rPr>
      <w:drawing>
        <wp:inline distT="0" distB="0" distL="0" distR="0" wp14:anchorId="7E84D159" wp14:editId="7343574B">
          <wp:extent cx="707209" cy="96630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7742" cy="10080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F66D" w14:textId="77777777" w:rsidR="006F1E8A" w:rsidRDefault="006F1E8A" w:rsidP="00AD5CF3">
      <w:r>
        <w:separator/>
      </w:r>
    </w:p>
  </w:footnote>
  <w:footnote w:type="continuationSeparator" w:id="0">
    <w:p w14:paraId="7C479202" w14:textId="77777777" w:rsidR="006F1E8A" w:rsidRDefault="006F1E8A" w:rsidP="00AD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591"/>
    <w:multiLevelType w:val="multilevel"/>
    <w:tmpl w:val="55DE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52587"/>
    <w:multiLevelType w:val="hybridMultilevel"/>
    <w:tmpl w:val="EE9C6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92025DA"/>
    <w:multiLevelType w:val="hybridMultilevel"/>
    <w:tmpl w:val="8B6C4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463E5"/>
    <w:rsid w:val="000B7445"/>
    <w:rsid w:val="000F473F"/>
    <w:rsid w:val="0015376A"/>
    <w:rsid w:val="001659F3"/>
    <w:rsid w:val="00175AB1"/>
    <w:rsid w:val="001950E6"/>
    <w:rsid w:val="001D2D6C"/>
    <w:rsid w:val="001E468E"/>
    <w:rsid w:val="0024150E"/>
    <w:rsid w:val="002608E8"/>
    <w:rsid w:val="00281E9F"/>
    <w:rsid w:val="002A194F"/>
    <w:rsid w:val="003204E5"/>
    <w:rsid w:val="00323B83"/>
    <w:rsid w:val="00391557"/>
    <w:rsid w:val="00391ED2"/>
    <w:rsid w:val="00396998"/>
    <w:rsid w:val="003A6053"/>
    <w:rsid w:val="003C2A80"/>
    <w:rsid w:val="00404D55"/>
    <w:rsid w:val="00415A81"/>
    <w:rsid w:val="00460B59"/>
    <w:rsid w:val="00460C43"/>
    <w:rsid w:val="00486046"/>
    <w:rsid w:val="004A026C"/>
    <w:rsid w:val="00533F4F"/>
    <w:rsid w:val="00576F33"/>
    <w:rsid w:val="005B2435"/>
    <w:rsid w:val="005D1253"/>
    <w:rsid w:val="005E016F"/>
    <w:rsid w:val="0063689E"/>
    <w:rsid w:val="00662108"/>
    <w:rsid w:val="006969C7"/>
    <w:rsid w:val="006D41E1"/>
    <w:rsid w:val="006E49CC"/>
    <w:rsid w:val="006F1E8A"/>
    <w:rsid w:val="007006BC"/>
    <w:rsid w:val="007528D1"/>
    <w:rsid w:val="007B3EF4"/>
    <w:rsid w:val="007F476B"/>
    <w:rsid w:val="00817BF6"/>
    <w:rsid w:val="00834852"/>
    <w:rsid w:val="0084610A"/>
    <w:rsid w:val="00856F7F"/>
    <w:rsid w:val="00897B81"/>
    <w:rsid w:val="008C2037"/>
    <w:rsid w:val="008C5109"/>
    <w:rsid w:val="0096034C"/>
    <w:rsid w:val="00995830"/>
    <w:rsid w:val="009A1265"/>
    <w:rsid w:val="009C5FB3"/>
    <w:rsid w:val="009F5426"/>
    <w:rsid w:val="00A707AE"/>
    <w:rsid w:val="00AB29D6"/>
    <w:rsid w:val="00AC7FCB"/>
    <w:rsid w:val="00AD5CF3"/>
    <w:rsid w:val="00AF420E"/>
    <w:rsid w:val="00B31F6F"/>
    <w:rsid w:val="00B32457"/>
    <w:rsid w:val="00B3356D"/>
    <w:rsid w:val="00B4597B"/>
    <w:rsid w:val="00B6782D"/>
    <w:rsid w:val="00BA262F"/>
    <w:rsid w:val="00BF6647"/>
    <w:rsid w:val="00C10E7F"/>
    <w:rsid w:val="00C64360"/>
    <w:rsid w:val="00CD3721"/>
    <w:rsid w:val="00D02AF5"/>
    <w:rsid w:val="00D52BCD"/>
    <w:rsid w:val="00D56E4D"/>
    <w:rsid w:val="00DA278E"/>
    <w:rsid w:val="00DB7D9B"/>
    <w:rsid w:val="00DE10F4"/>
    <w:rsid w:val="00DE46FB"/>
    <w:rsid w:val="00E24C55"/>
    <w:rsid w:val="00E25346"/>
    <w:rsid w:val="00E370F3"/>
    <w:rsid w:val="00E80910"/>
    <w:rsid w:val="00E97D3B"/>
    <w:rsid w:val="00ED4CF2"/>
    <w:rsid w:val="00F552F1"/>
    <w:rsid w:val="00F71767"/>
    <w:rsid w:val="00F93C10"/>
    <w:rsid w:val="00FA2BE2"/>
    <w:rsid w:val="00FB5541"/>
    <w:rsid w:val="00FD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ACB1DD"/>
  <w14:defaultImageDpi w14:val="300"/>
  <w15:docId w15:val="{64320258-E6C3-EB4C-8C97-491FEAD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basedOn w:val="Normal"/>
    <w:uiPriority w:val="34"/>
    <w:qFormat/>
    <w:rsid w:val="00AD5CF3"/>
    <w:pPr>
      <w:ind w:left="720"/>
      <w:contextualSpacing/>
    </w:pPr>
  </w:style>
  <w:style w:type="table" w:styleId="TableGrid">
    <w:name w:val="Table Grid"/>
    <w:basedOn w:val="TableNormal"/>
    <w:uiPriority w:val="59"/>
    <w:rsid w:val="00C6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7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3</cp:revision>
  <cp:lastPrinted>2017-03-27T13:21:00Z</cp:lastPrinted>
  <dcterms:created xsi:type="dcterms:W3CDTF">2018-06-28T14:08:00Z</dcterms:created>
  <dcterms:modified xsi:type="dcterms:W3CDTF">2018-06-28T14:15:00Z</dcterms:modified>
</cp:coreProperties>
</file>