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CF664" w14:textId="77777777" w:rsidR="005C25A8" w:rsidRPr="00CD142E" w:rsidRDefault="005C25A8" w:rsidP="005C25A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OHIO BALANCE OF STATE CONTINUUM OF CARE</w:t>
      </w:r>
    </w:p>
    <w:p w14:paraId="0DF53392" w14:textId="77777777" w:rsidR="005C25A8" w:rsidRPr="00CD142E" w:rsidRDefault="005C25A8" w:rsidP="005C25A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4A6150">
        <w:rPr>
          <w:rFonts w:ascii="Arial" w:hAnsi="Arial"/>
          <w:b/>
        </w:rPr>
        <w:t>oC Board</w:t>
      </w:r>
      <w:r w:rsidRPr="00CD142E">
        <w:rPr>
          <w:rFonts w:ascii="Arial" w:hAnsi="Arial"/>
          <w:b/>
        </w:rPr>
        <w:t xml:space="preserve"> Meeting</w:t>
      </w:r>
    </w:p>
    <w:p w14:paraId="12C82855" w14:textId="77777777" w:rsidR="005C25A8" w:rsidRDefault="005C25A8" w:rsidP="005C25A8">
      <w:pPr>
        <w:jc w:val="center"/>
        <w:rPr>
          <w:rFonts w:ascii="Arial" w:hAnsi="Arial"/>
          <w:b/>
        </w:rPr>
      </w:pPr>
    </w:p>
    <w:p w14:paraId="23BFF283" w14:textId="77777777" w:rsidR="005C25A8" w:rsidRPr="00CD142E" w:rsidRDefault="005C25A8" w:rsidP="005C25A8">
      <w:pPr>
        <w:jc w:val="center"/>
        <w:rPr>
          <w:rFonts w:ascii="Arial" w:hAnsi="Arial"/>
          <w:b/>
        </w:rPr>
      </w:pPr>
    </w:p>
    <w:p w14:paraId="15C756D2" w14:textId="77777777" w:rsidR="005C25A8" w:rsidRPr="00BF439E" w:rsidRDefault="005C25A8" w:rsidP="005C25A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INFORMATION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1B5A77DB" w14:textId="77777777" w:rsidR="005C25A8" w:rsidRDefault="005C25A8" w:rsidP="005C25A8">
      <w:pPr>
        <w:rPr>
          <w:rFonts w:ascii="Arial" w:hAnsi="Arial"/>
          <w:b/>
          <w:sz w:val="20"/>
          <w:szCs w:val="20"/>
        </w:rPr>
      </w:pPr>
    </w:p>
    <w:p w14:paraId="78B4BD8F" w14:textId="4E73DFBD" w:rsidR="005C25A8" w:rsidRPr="00ED4CF2" w:rsidRDefault="005C25A8" w:rsidP="005C25A8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4A6150">
        <w:rPr>
          <w:rFonts w:ascii="Arial" w:hAnsi="Arial"/>
          <w:sz w:val="20"/>
          <w:szCs w:val="20"/>
        </w:rPr>
        <w:t>Mon</w:t>
      </w:r>
      <w:r w:rsidR="00182EED">
        <w:rPr>
          <w:rFonts w:ascii="Arial" w:hAnsi="Arial"/>
          <w:sz w:val="20"/>
          <w:szCs w:val="20"/>
        </w:rPr>
        <w:t>day, January 22, 2018</w:t>
      </w:r>
    </w:p>
    <w:p w14:paraId="48D90F35" w14:textId="77777777" w:rsidR="005C25A8" w:rsidRPr="00ED4CF2" w:rsidRDefault="005C25A8" w:rsidP="005C25A8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Time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</w:t>
      </w:r>
      <w:r w:rsidR="004A6150">
        <w:rPr>
          <w:rFonts w:ascii="Arial" w:hAnsi="Arial"/>
          <w:sz w:val="20"/>
          <w:szCs w:val="20"/>
        </w:rPr>
        <w:t>0:00a</w:t>
      </w:r>
      <w:r>
        <w:rPr>
          <w:rFonts w:ascii="Arial" w:hAnsi="Arial"/>
          <w:sz w:val="20"/>
          <w:szCs w:val="20"/>
        </w:rPr>
        <w:t>m</w:t>
      </w:r>
    </w:p>
    <w:p w14:paraId="4A29529F" w14:textId="77777777" w:rsidR="005C25A8" w:rsidRDefault="005C25A8" w:rsidP="005C25A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Location:</w:t>
      </w:r>
      <w:r>
        <w:rPr>
          <w:rFonts w:ascii="Arial" w:hAnsi="Arial"/>
          <w:b/>
          <w:sz w:val="20"/>
          <w:szCs w:val="20"/>
        </w:rPr>
        <w:tab/>
      </w:r>
      <w:r w:rsidRPr="00ED4CF2">
        <w:rPr>
          <w:rFonts w:ascii="Arial" w:hAnsi="Arial"/>
          <w:sz w:val="20"/>
          <w:szCs w:val="20"/>
        </w:rPr>
        <w:t>Webinar</w:t>
      </w:r>
      <w:r>
        <w:rPr>
          <w:rFonts w:ascii="Arial" w:hAnsi="Arial"/>
          <w:sz w:val="20"/>
          <w:szCs w:val="20"/>
        </w:rPr>
        <w:t xml:space="preserve"> and conference call </w:t>
      </w:r>
    </w:p>
    <w:p w14:paraId="2E538CF5" w14:textId="77777777" w:rsidR="005C25A8" w:rsidRDefault="005C25A8" w:rsidP="005C25A8">
      <w:pPr>
        <w:ind w:left="1440" w:hanging="14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Attendees:</w:t>
      </w:r>
      <w:r>
        <w:rPr>
          <w:rFonts w:ascii="Arial" w:hAnsi="Arial"/>
          <w:b/>
          <w:sz w:val="20"/>
          <w:szCs w:val="20"/>
        </w:rPr>
        <w:tab/>
      </w:r>
    </w:p>
    <w:p w14:paraId="56535BC2" w14:textId="77777777" w:rsidR="005A1A46" w:rsidRPr="00A44F6F" w:rsidRDefault="005A1A46" w:rsidP="005C25A8">
      <w:pPr>
        <w:ind w:left="1440" w:hanging="1440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662"/>
        <w:gridCol w:w="1574"/>
        <w:gridCol w:w="1752"/>
        <w:gridCol w:w="1414"/>
        <w:gridCol w:w="1892"/>
      </w:tblGrid>
      <w:tr w:rsidR="005A1A46" w:rsidRPr="003B1F98" w14:paraId="5768C0A8" w14:textId="77777777" w:rsidTr="006E6C73">
        <w:tc>
          <w:tcPr>
            <w:tcW w:w="1282" w:type="dxa"/>
          </w:tcPr>
          <w:p w14:paraId="56F409A0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</w:t>
            </w:r>
          </w:p>
        </w:tc>
        <w:tc>
          <w:tcPr>
            <w:tcW w:w="1662" w:type="dxa"/>
          </w:tcPr>
          <w:p w14:paraId="6B222B65" w14:textId="77777777" w:rsidR="005A1A46" w:rsidRPr="003349A9" w:rsidRDefault="003349A9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3349A9">
              <w:rPr>
                <w:rFonts w:ascii="Arial" w:hAnsi="Arial" w:cs="Lucida Grande"/>
                <w:color w:val="000000"/>
              </w:rPr>
              <w:t>Angie Franklin</w:t>
            </w:r>
          </w:p>
        </w:tc>
        <w:tc>
          <w:tcPr>
            <w:tcW w:w="1574" w:type="dxa"/>
          </w:tcPr>
          <w:p w14:paraId="18E7AD97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7</w:t>
            </w:r>
          </w:p>
        </w:tc>
        <w:tc>
          <w:tcPr>
            <w:tcW w:w="1752" w:type="dxa"/>
          </w:tcPr>
          <w:p w14:paraId="0AFB42EA" w14:textId="64118FC7" w:rsidR="005A1A46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414" w:type="dxa"/>
          </w:tcPr>
          <w:p w14:paraId="6442C24E" w14:textId="77777777" w:rsidR="005A1A46" w:rsidRPr="007931C6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7931C6">
              <w:rPr>
                <w:rFonts w:ascii="Arial" w:hAnsi="Arial" w:cs="Arial"/>
                <w:b/>
              </w:rPr>
              <w:t>Region 13</w:t>
            </w:r>
          </w:p>
        </w:tc>
        <w:tc>
          <w:tcPr>
            <w:tcW w:w="1892" w:type="dxa"/>
          </w:tcPr>
          <w:p w14:paraId="7025061F" w14:textId="22775B80" w:rsidR="005A1A46" w:rsidRPr="007931C6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</w:tr>
      <w:tr w:rsidR="005A1A46" w:rsidRPr="003B1F98" w14:paraId="10EF9358" w14:textId="77777777" w:rsidTr="006E6C73">
        <w:tc>
          <w:tcPr>
            <w:tcW w:w="1282" w:type="dxa"/>
          </w:tcPr>
          <w:p w14:paraId="68B3CE5C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2</w:t>
            </w:r>
          </w:p>
        </w:tc>
        <w:tc>
          <w:tcPr>
            <w:tcW w:w="1662" w:type="dxa"/>
          </w:tcPr>
          <w:p w14:paraId="55009DC0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Ragan Claypool</w:t>
            </w:r>
          </w:p>
        </w:tc>
        <w:tc>
          <w:tcPr>
            <w:tcW w:w="1574" w:type="dxa"/>
          </w:tcPr>
          <w:p w14:paraId="13B0B20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8</w:t>
            </w:r>
          </w:p>
        </w:tc>
        <w:tc>
          <w:tcPr>
            <w:tcW w:w="1752" w:type="dxa"/>
          </w:tcPr>
          <w:p w14:paraId="7CAAAA3B" w14:textId="0D05B885" w:rsidR="005A1A46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414" w:type="dxa"/>
          </w:tcPr>
          <w:p w14:paraId="3A5184A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14</w:t>
            </w:r>
          </w:p>
        </w:tc>
        <w:tc>
          <w:tcPr>
            <w:tcW w:w="1892" w:type="dxa"/>
          </w:tcPr>
          <w:p w14:paraId="645AF82C" w14:textId="441DF7FA" w:rsidR="00C16EC0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</w:tr>
      <w:tr w:rsidR="005A1A46" w:rsidRPr="003B1F98" w14:paraId="76F235BA" w14:textId="77777777" w:rsidTr="006E6C73">
        <w:tc>
          <w:tcPr>
            <w:tcW w:w="1282" w:type="dxa"/>
          </w:tcPr>
          <w:p w14:paraId="51F444E6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3</w:t>
            </w:r>
          </w:p>
        </w:tc>
        <w:tc>
          <w:tcPr>
            <w:tcW w:w="1662" w:type="dxa"/>
          </w:tcPr>
          <w:p w14:paraId="230412A8" w14:textId="767A5C98" w:rsidR="005A1A46" w:rsidRPr="00465734" w:rsidRDefault="008F552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574" w:type="dxa"/>
          </w:tcPr>
          <w:p w14:paraId="6E4C8E7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9</w:t>
            </w:r>
          </w:p>
        </w:tc>
        <w:tc>
          <w:tcPr>
            <w:tcW w:w="1752" w:type="dxa"/>
          </w:tcPr>
          <w:p w14:paraId="0A0290D3" w14:textId="77777777" w:rsidR="005A1A46" w:rsidRPr="00465734" w:rsidRDefault="00C16EC0" w:rsidP="006E6C73">
            <w:pPr>
              <w:rPr>
                <w:rFonts w:ascii="Arial" w:hAnsi="Arial" w:cs="Arial"/>
              </w:rPr>
            </w:pPr>
            <w:r w:rsidRPr="008E3223">
              <w:rPr>
                <w:rFonts w:ascii="Arial" w:hAnsi="Arial" w:cs="Arial"/>
              </w:rPr>
              <w:t>Deb Tegtmeyer</w:t>
            </w:r>
          </w:p>
        </w:tc>
        <w:tc>
          <w:tcPr>
            <w:tcW w:w="1414" w:type="dxa"/>
          </w:tcPr>
          <w:p w14:paraId="1F7AB29D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15</w:t>
            </w:r>
          </w:p>
        </w:tc>
        <w:tc>
          <w:tcPr>
            <w:tcW w:w="1892" w:type="dxa"/>
          </w:tcPr>
          <w:p w14:paraId="41230135" w14:textId="55A5814B" w:rsidR="005A1A46" w:rsidRPr="00465734" w:rsidRDefault="00942CB7" w:rsidP="006E6C73">
            <w:pPr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</w:tr>
      <w:tr w:rsidR="005A1A46" w:rsidRPr="003B1F98" w14:paraId="1751CF62" w14:textId="77777777" w:rsidTr="006E6C73">
        <w:trPr>
          <w:trHeight w:val="279"/>
        </w:trPr>
        <w:tc>
          <w:tcPr>
            <w:tcW w:w="1282" w:type="dxa"/>
          </w:tcPr>
          <w:p w14:paraId="45041ADA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4</w:t>
            </w:r>
          </w:p>
        </w:tc>
        <w:tc>
          <w:tcPr>
            <w:tcW w:w="1662" w:type="dxa"/>
          </w:tcPr>
          <w:p w14:paraId="498707D1" w14:textId="77777777" w:rsidR="005A1A46" w:rsidRPr="00465734" w:rsidRDefault="005A1A46" w:rsidP="006E6C73">
            <w:pPr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Debbie Kubena-Yatsko</w:t>
            </w:r>
          </w:p>
        </w:tc>
        <w:tc>
          <w:tcPr>
            <w:tcW w:w="1574" w:type="dxa"/>
          </w:tcPr>
          <w:p w14:paraId="5C43C8F9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10</w:t>
            </w:r>
          </w:p>
        </w:tc>
        <w:tc>
          <w:tcPr>
            <w:tcW w:w="1752" w:type="dxa"/>
          </w:tcPr>
          <w:p w14:paraId="2F81CF73" w14:textId="77777777" w:rsidR="005A1A46" w:rsidRPr="00465734" w:rsidRDefault="00A134D9" w:rsidP="006E6C73">
            <w:pPr>
              <w:rPr>
                <w:rFonts w:ascii="Arial" w:hAnsi="Arial" w:cs="Arial"/>
              </w:rPr>
            </w:pPr>
            <w:r w:rsidRPr="00942CB7">
              <w:rPr>
                <w:rFonts w:ascii="Arial" w:hAnsi="Arial" w:cs="Arial"/>
                <w:color w:val="000000" w:themeColor="text1"/>
              </w:rPr>
              <w:t>Melissa Humbert</w:t>
            </w:r>
          </w:p>
        </w:tc>
        <w:tc>
          <w:tcPr>
            <w:tcW w:w="1414" w:type="dxa"/>
          </w:tcPr>
          <w:p w14:paraId="22004433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16</w:t>
            </w:r>
          </w:p>
        </w:tc>
        <w:tc>
          <w:tcPr>
            <w:tcW w:w="1892" w:type="dxa"/>
          </w:tcPr>
          <w:p w14:paraId="7F450EB2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Bambi Baughn</w:t>
            </w:r>
          </w:p>
        </w:tc>
      </w:tr>
      <w:tr w:rsidR="005A1A46" w:rsidRPr="003B1F98" w14:paraId="692AFA15" w14:textId="77777777" w:rsidTr="006E6C73">
        <w:tc>
          <w:tcPr>
            <w:tcW w:w="1282" w:type="dxa"/>
          </w:tcPr>
          <w:p w14:paraId="388D9AE0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5</w:t>
            </w:r>
          </w:p>
        </w:tc>
        <w:tc>
          <w:tcPr>
            <w:tcW w:w="1662" w:type="dxa"/>
          </w:tcPr>
          <w:p w14:paraId="2B7B46AA" w14:textId="48225349" w:rsidR="005A1A46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574" w:type="dxa"/>
          </w:tcPr>
          <w:p w14:paraId="33529F95" w14:textId="77777777" w:rsidR="005A1A46" w:rsidRPr="007931C6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7931C6">
              <w:rPr>
                <w:rFonts w:ascii="Arial" w:hAnsi="Arial" w:cs="Arial"/>
                <w:b/>
              </w:rPr>
              <w:t>Region 11</w:t>
            </w:r>
          </w:p>
        </w:tc>
        <w:tc>
          <w:tcPr>
            <w:tcW w:w="1752" w:type="dxa"/>
          </w:tcPr>
          <w:p w14:paraId="03C0D6F9" w14:textId="77777777" w:rsidR="005A1A46" w:rsidRPr="007931C6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7931C6">
              <w:rPr>
                <w:rFonts w:ascii="Arial" w:hAnsi="Arial" w:cs="Arial"/>
              </w:rPr>
              <w:t>Chuck Bulick</w:t>
            </w:r>
          </w:p>
        </w:tc>
        <w:tc>
          <w:tcPr>
            <w:tcW w:w="1414" w:type="dxa"/>
          </w:tcPr>
          <w:p w14:paraId="1803B8A5" w14:textId="77777777" w:rsidR="005A1A46" w:rsidRPr="002B436D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2B436D">
              <w:rPr>
                <w:rFonts w:ascii="Arial" w:hAnsi="Arial" w:cs="Arial"/>
                <w:b/>
              </w:rPr>
              <w:t>Region 17</w:t>
            </w:r>
          </w:p>
        </w:tc>
        <w:tc>
          <w:tcPr>
            <w:tcW w:w="1892" w:type="dxa"/>
          </w:tcPr>
          <w:p w14:paraId="61CF4F88" w14:textId="77777777" w:rsidR="005A1A46" w:rsidRPr="002B436D" w:rsidRDefault="003349A9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Thabet</w:t>
            </w:r>
          </w:p>
        </w:tc>
      </w:tr>
      <w:tr w:rsidR="005A1A46" w:rsidRPr="003B1F98" w14:paraId="4427E36D" w14:textId="77777777" w:rsidTr="006E6C73">
        <w:tc>
          <w:tcPr>
            <w:tcW w:w="1282" w:type="dxa"/>
          </w:tcPr>
          <w:p w14:paraId="30C8E420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6</w:t>
            </w:r>
          </w:p>
        </w:tc>
        <w:tc>
          <w:tcPr>
            <w:tcW w:w="1662" w:type="dxa"/>
          </w:tcPr>
          <w:p w14:paraId="25E47A11" w14:textId="77777777" w:rsidR="005A1A46" w:rsidRPr="00465734" w:rsidRDefault="003349A9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 Grimm</w:t>
            </w:r>
          </w:p>
        </w:tc>
        <w:tc>
          <w:tcPr>
            <w:tcW w:w="1574" w:type="dxa"/>
          </w:tcPr>
          <w:p w14:paraId="492B9ADE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Region 12</w:t>
            </w:r>
          </w:p>
        </w:tc>
        <w:tc>
          <w:tcPr>
            <w:tcW w:w="1752" w:type="dxa"/>
          </w:tcPr>
          <w:p w14:paraId="28E1156F" w14:textId="77777777" w:rsidR="005A1A46" w:rsidRPr="00465734" w:rsidRDefault="00C16EC0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Marva Cowan</w:t>
            </w:r>
          </w:p>
        </w:tc>
        <w:tc>
          <w:tcPr>
            <w:tcW w:w="1414" w:type="dxa"/>
          </w:tcPr>
          <w:p w14:paraId="5E00148C" w14:textId="77777777" w:rsidR="005A1A46" w:rsidRPr="00121225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92" w:type="dxa"/>
          </w:tcPr>
          <w:p w14:paraId="442114CD" w14:textId="77777777" w:rsidR="005A1A46" w:rsidRPr="00121225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color w:val="FF0000"/>
              </w:rPr>
            </w:pPr>
          </w:p>
        </w:tc>
      </w:tr>
      <w:tr w:rsidR="005A1A46" w:rsidRPr="003B1F98" w14:paraId="609B7B4B" w14:textId="77777777" w:rsidTr="006E6C73">
        <w:tc>
          <w:tcPr>
            <w:tcW w:w="1282" w:type="dxa"/>
          </w:tcPr>
          <w:p w14:paraId="494C961A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VA</w:t>
            </w:r>
          </w:p>
        </w:tc>
        <w:tc>
          <w:tcPr>
            <w:tcW w:w="1662" w:type="dxa"/>
          </w:tcPr>
          <w:p w14:paraId="1A27448E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Jim Kennelly</w:t>
            </w:r>
          </w:p>
        </w:tc>
        <w:tc>
          <w:tcPr>
            <w:tcW w:w="1574" w:type="dxa"/>
          </w:tcPr>
          <w:p w14:paraId="6F7DBEA5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Youth Provider</w:t>
            </w:r>
          </w:p>
        </w:tc>
        <w:tc>
          <w:tcPr>
            <w:tcW w:w="1752" w:type="dxa"/>
          </w:tcPr>
          <w:p w14:paraId="4607AF96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Fallon Kingery</w:t>
            </w:r>
          </w:p>
        </w:tc>
        <w:tc>
          <w:tcPr>
            <w:tcW w:w="1414" w:type="dxa"/>
          </w:tcPr>
          <w:p w14:paraId="2FE7D9D8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CSH</w:t>
            </w:r>
          </w:p>
        </w:tc>
        <w:tc>
          <w:tcPr>
            <w:tcW w:w="1892" w:type="dxa"/>
          </w:tcPr>
          <w:p w14:paraId="6C9D10D4" w14:textId="35F0B014" w:rsidR="005A1A46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</w:tr>
      <w:tr w:rsidR="005A1A46" w:rsidRPr="003B1F98" w14:paraId="68F10BF6" w14:textId="77777777" w:rsidTr="006E6C73">
        <w:tc>
          <w:tcPr>
            <w:tcW w:w="1282" w:type="dxa"/>
          </w:tcPr>
          <w:p w14:paraId="47D5C3D6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DV</w:t>
            </w:r>
          </w:p>
        </w:tc>
        <w:tc>
          <w:tcPr>
            <w:tcW w:w="1662" w:type="dxa"/>
          </w:tcPr>
          <w:p w14:paraId="6EC6CF8B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Sarah Masek</w:t>
            </w:r>
          </w:p>
        </w:tc>
        <w:tc>
          <w:tcPr>
            <w:tcW w:w="1574" w:type="dxa"/>
          </w:tcPr>
          <w:p w14:paraId="5C14E96D" w14:textId="77777777" w:rsidR="005A1A46" w:rsidRPr="00D57E26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D57E26">
              <w:rPr>
                <w:rFonts w:ascii="Arial" w:hAnsi="Arial" w:cs="Arial"/>
                <w:b/>
              </w:rPr>
              <w:t>At-Large OHFA</w:t>
            </w:r>
          </w:p>
        </w:tc>
        <w:tc>
          <w:tcPr>
            <w:tcW w:w="1752" w:type="dxa"/>
          </w:tcPr>
          <w:p w14:paraId="294BE406" w14:textId="0A691997" w:rsidR="005A1A46" w:rsidRPr="00D57E26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  <w:tc>
          <w:tcPr>
            <w:tcW w:w="1414" w:type="dxa"/>
          </w:tcPr>
          <w:p w14:paraId="5F778375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 – Large OCCH</w:t>
            </w:r>
          </w:p>
        </w:tc>
        <w:tc>
          <w:tcPr>
            <w:tcW w:w="1892" w:type="dxa"/>
          </w:tcPr>
          <w:p w14:paraId="06FB1213" w14:textId="2260CB9C" w:rsidR="005A1A46" w:rsidRPr="00465734" w:rsidRDefault="00942CB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  <w:color w:val="000000" w:themeColor="text1"/>
              </w:rPr>
              <w:t>absent</w:t>
            </w:r>
          </w:p>
        </w:tc>
      </w:tr>
      <w:tr w:rsidR="005A1A46" w:rsidRPr="003B1F98" w14:paraId="3666A631" w14:textId="77777777" w:rsidTr="006E6C73">
        <w:tc>
          <w:tcPr>
            <w:tcW w:w="1282" w:type="dxa"/>
          </w:tcPr>
          <w:p w14:paraId="0264CAE4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Mental Health</w:t>
            </w:r>
          </w:p>
        </w:tc>
        <w:tc>
          <w:tcPr>
            <w:tcW w:w="1662" w:type="dxa"/>
          </w:tcPr>
          <w:p w14:paraId="6FC83D3B" w14:textId="77777777" w:rsidR="005A1A46" w:rsidRPr="00465734" w:rsidRDefault="00A44F6F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 Bailey</w:t>
            </w:r>
          </w:p>
        </w:tc>
        <w:tc>
          <w:tcPr>
            <w:tcW w:w="1574" w:type="dxa"/>
          </w:tcPr>
          <w:p w14:paraId="6FE1E74F" w14:textId="77777777" w:rsidR="005A1A46" w:rsidRPr="005A7BF6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5A7BF6">
              <w:rPr>
                <w:rFonts w:ascii="Arial" w:hAnsi="Arial" w:cs="Arial"/>
                <w:b/>
              </w:rPr>
              <w:t>At-Large Housing Authority/PSH</w:t>
            </w:r>
          </w:p>
        </w:tc>
        <w:tc>
          <w:tcPr>
            <w:tcW w:w="1752" w:type="dxa"/>
          </w:tcPr>
          <w:p w14:paraId="4873C19A" w14:textId="77777777" w:rsidR="005A1A46" w:rsidRPr="005A7BF6" w:rsidRDefault="003349A9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Blatchley</w:t>
            </w:r>
          </w:p>
        </w:tc>
        <w:tc>
          <w:tcPr>
            <w:tcW w:w="1414" w:type="dxa"/>
          </w:tcPr>
          <w:p w14:paraId="1BD70D2F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 PSH</w:t>
            </w:r>
          </w:p>
        </w:tc>
        <w:tc>
          <w:tcPr>
            <w:tcW w:w="1892" w:type="dxa"/>
          </w:tcPr>
          <w:p w14:paraId="24218E8E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Fred Berry</w:t>
            </w:r>
          </w:p>
        </w:tc>
      </w:tr>
      <w:tr w:rsidR="005C70C7" w:rsidRPr="003B1F98" w14:paraId="5A370518" w14:textId="77777777" w:rsidTr="005C70C7">
        <w:trPr>
          <w:trHeight w:val="269"/>
        </w:trPr>
        <w:tc>
          <w:tcPr>
            <w:tcW w:w="1282" w:type="dxa"/>
          </w:tcPr>
          <w:p w14:paraId="21F15A04" w14:textId="190B4A4D" w:rsidR="005C70C7" w:rsidRPr="00465734" w:rsidRDefault="005C70C7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</w:t>
            </w:r>
          </w:p>
        </w:tc>
        <w:tc>
          <w:tcPr>
            <w:tcW w:w="1662" w:type="dxa"/>
          </w:tcPr>
          <w:p w14:paraId="431700BA" w14:textId="612E1C99" w:rsidR="005C70C7" w:rsidRDefault="005C70C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C.J. Roberts</w:t>
            </w:r>
          </w:p>
        </w:tc>
        <w:tc>
          <w:tcPr>
            <w:tcW w:w="1574" w:type="dxa"/>
          </w:tcPr>
          <w:p w14:paraId="6483BF07" w14:textId="171AC925" w:rsidR="005C70C7" w:rsidRPr="005A7BF6" w:rsidRDefault="005C70C7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At-Large</w:t>
            </w:r>
            <w:r>
              <w:rPr>
                <w:rFonts w:ascii="Arial" w:hAnsi="Arial" w:cs="Arial"/>
                <w:b/>
              </w:rPr>
              <w:t>/MH Board</w:t>
            </w:r>
          </w:p>
        </w:tc>
        <w:tc>
          <w:tcPr>
            <w:tcW w:w="1752" w:type="dxa"/>
          </w:tcPr>
          <w:p w14:paraId="2D44591E" w14:textId="079C6D53" w:rsidR="005C70C7" w:rsidRDefault="005C70C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Holly Cundiff</w:t>
            </w:r>
          </w:p>
        </w:tc>
        <w:tc>
          <w:tcPr>
            <w:tcW w:w="1414" w:type="dxa"/>
          </w:tcPr>
          <w:p w14:paraId="321BAB1E" w14:textId="77777777" w:rsidR="005C70C7" w:rsidRPr="00465734" w:rsidRDefault="005C70C7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6A8061DB" w14:textId="77777777" w:rsidR="005C70C7" w:rsidRPr="00465734" w:rsidRDefault="005C70C7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</w:p>
        </w:tc>
      </w:tr>
      <w:tr w:rsidR="005A1A46" w:rsidRPr="003B1F98" w14:paraId="765DB481" w14:textId="77777777" w:rsidTr="006E6C73">
        <w:tc>
          <w:tcPr>
            <w:tcW w:w="1282" w:type="dxa"/>
          </w:tcPr>
          <w:p w14:paraId="1B028004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 xml:space="preserve">ODSA </w:t>
            </w:r>
          </w:p>
        </w:tc>
        <w:tc>
          <w:tcPr>
            <w:tcW w:w="4988" w:type="dxa"/>
            <w:gridSpan w:val="3"/>
          </w:tcPr>
          <w:p w14:paraId="49F5E79A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Scott Gary</w:t>
            </w:r>
          </w:p>
        </w:tc>
        <w:tc>
          <w:tcPr>
            <w:tcW w:w="1414" w:type="dxa"/>
          </w:tcPr>
          <w:p w14:paraId="79C2EA17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59B6AD1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</w:p>
        </w:tc>
      </w:tr>
      <w:tr w:rsidR="005A1A46" w:rsidRPr="003B1F98" w14:paraId="6722F2AD" w14:textId="77777777" w:rsidTr="006E6C73">
        <w:tc>
          <w:tcPr>
            <w:tcW w:w="1282" w:type="dxa"/>
          </w:tcPr>
          <w:p w14:paraId="03E2BE3D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COHHIO</w:t>
            </w:r>
          </w:p>
        </w:tc>
        <w:tc>
          <w:tcPr>
            <w:tcW w:w="8294" w:type="dxa"/>
            <w:gridSpan w:val="5"/>
          </w:tcPr>
          <w:p w14:paraId="2CA8E9ED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Amanda Wilson</w:t>
            </w:r>
          </w:p>
        </w:tc>
      </w:tr>
      <w:tr w:rsidR="005A1A46" w:rsidRPr="003B1F98" w14:paraId="1447CE4A" w14:textId="77777777" w:rsidTr="006E6C73">
        <w:tc>
          <w:tcPr>
            <w:tcW w:w="1282" w:type="dxa"/>
          </w:tcPr>
          <w:p w14:paraId="42C4BEEC" w14:textId="77777777" w:rsidR="005A1A46" w:rsidRPr="00465734" w:rsidRDefault="005A1A46" w:rsidP="006E6C73">
            <w:pPr>
              <w:tabs>
                <w:tab w:val="left" w:pos="5712"/>
              </w:tabs>
              <w:rPr>
                <w:rFonts w:ascii="Arial" w:hAnsi="Arial" w:cs="Arial"/>
                <w:b/>
              </w:rPr>
            </w:pPr>
            <w:r w:rsidRPr="00465734">
              <w:rPr>
                <w:rFonts w:ascii="Arial" w:hAnsi="Arial" w:cs="Arial"/>
                <w:b/>
              </w:rPr>
              <w:t>Others in attendance (non-voting)</w:t>
            </w:r>
          </w:p>
        </w:tc>
        <w:tc>
          <w:tcPr>
            <w:tcW w:w="8294" w:type="dxa"/>
            <w:gridSpan w:val="5"/>
          </w:tcPr>
          <w:p w14:paraId="10DD490A" w14:textId="77777777" w:rsidR="005A1A46" w:rsidRPr="00465734" w:rsidRDefault="005A1A46" w:rsidP="0008287D">
            <w:pPr>
              <w:tabs>
                <w:tab w:val="left" w:pos="5712"/>
              </w:tabs>
              <w:rPr>
                <w:rFonts w:ascii="Arial" w:hAnsi="Arial" w:cs="Arial"/>
              </w:rPr>
            </w:pPr>
            <w:r w:rsidRPr="00465734">
              <w:rPr>
                <w:rFonts w:ascii="Arial" w:hAnsi="Arial" w:cs="Arial"/>
              </w:rPr>
              <w:t>Erica Mulryan/COHHIO, Barbara Miller/COHHIO, Chloe Greene/COHHIO, Maura Klein/ODSA, Sandy Sechang/COHHIO</w:t>
            </w:r>
          </w:p>
        </w:tc>
      </w:tr>
    </w:tbl>
    <w:p w14:paraId="21C1B591" w14:textId="77777777" w:rsidR="004A6150" w:rsidRPr="008C5109" w:rsidRDefault="004A6150" w:rsidP="00A44F6F">
      <w:pPr>
        <w:rPr>
          <w:rFonts w:ascii="Arial" w:hAnsi="Arial"/>
          <w:b/>
          <w:sz w:val="20"/>
          <w:szCs w:val="20"/>
        </w:rPr>
      </w:pPr>
    </w:p>
    <w:p w14:paraId="1F5F367F" w14:textId="77777777" w:rsidR="005C25A8" w:rsidRDefault="005C25A8" w:rsidP="005C25A8">
      <w:pPr>
        <w:rPr>
          <w:rFonts w:ascii="Arial" w:hAnsi="Arial"/>
          <w:b/>
          <w:u w:val="single"/>
        </w:rPr>
      </w:pPr>
    </w:p>
    <w:p w14:paraId="22BA702B" w14:textId="77777777" w:rsidR="005C25A8" w:rsidRPr="001A3B24" w:rsidRDefault="005C25A8" w:rsidP="005C25A8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b/>
          <w:u w:val="single"/>
        </w:rPr>
        <w:t xml:space="preserve">MEETING NOTES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656DE6C7" w14:textId="77777777" w:rsidR="005C25A8" w:rsidRPr="001A3B24" w:rsidRDefault="005C25A8" w:rsidP="005C25A8">
      <w:pPr>
        <w:pStyle w:val="NoSpacing"/>
        <w:rPr>
          <w:rFonts w:ascii="Arial" w:hAnsi="Arial"/>
          <w:sz w:val="20"/>
          <w:szCs w:val="20"/>
        </w:rPr>
      </w:pPr>
    </w:p>
    <w:p w14:paraId="443B533C" w14:textId="4575A61B" w:rsidR="005C25A8" w:rsidRPr="001A3B24" w:rsidRDefault="00AD3422" w:rsidP="005C25A8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FY17 CoC Competition Awards</w:t>
      </w:r>
    </w:p>
    <w:p w14:paraId="32F4F0B3" w14:textId="5D467BC9" w:rsidR="00F679A2" w:rsidRPr="00AF4914" w:rsidRDefault="006B1765" w:rsidP="00DC4362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HUD </w:t>
      </w:r>
      <w:r w:rsidR="006659FD">
        <w:rPr>
          <w:rFonts w:ascii="Arial" w:hAnsi="Arial"/>
          <w:sz w:val="20"/>
          <w:szCs w:val="20"/>
        </w:rPr>
        <w:t xml:space="preserve">announced the CoC </w:t>
      </w:r>
      <w:r>
        <w:rPr>
          <w:rFonts w:ascii="Arial" w:hAnsi="Arial"/>
          <w:sz w:val="20"/>
          <w:szCs w:val="20"/>
        </w:rPr>
        <w:t xml:space="preserve">funding awards </w:t>
      </w:r>
      <w:r w:rsidR="006659FD">
        <w:rPr>
          <w:rFonts w:ascii="Arial" w:hAnsi="Arial"/>
          <w:sz w:val="20"/>
          <w:szCs w:val="20"/>
        </w:rPr>
        <w:t>on January 11, 2018.</w:t>
      </w:r>
    </w:p>
    <w:p w14:paraId="547CC9BC" w14:textId="0E61975D" w:rsidR="00AF4914" w:rsidRPr="00ED3207" w:rsidRDefault="00AF4914" w:rsidP="00DC4362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award amount was almost identical to our </w:t>
      </w:r>
      <w:r w:rsidR="006659FD">
        <w:rPr>
          <w:rFonts w:ascii="Arial" w:hAnsi="Arial"/>
          <w:sz w:val="20"/>
          <w:szCs w:val="20"/>
        </w:rPr>
        <w:t>ARD (A</w:t>
      </w:r>
      <w:r>
        <w:rPr>
          <w:rFonts w:ascii="Arial" w:hAnsi="Arial"/>
          <w:sz w:val="20"/>
          <w:szCs w:val="20"/>
        </w:rPr>
        <w:t xml:space="preserve">nnual </w:t>
      </w:r>
      <w:r w:rsidR="006659FD">
        <w:rPr>
          <w:rFonts w:ascii="Arial" w:hAnsi="Arial"/>
          <w:sz w:val="20"/>
          <w:szCs w:val="20"/>
        </w:rPr>
        <w:t>Renewal D</w:t>
      </w:r>
      <w:r>
        <w:rPr>
          <w:rFonts w:ascii="Arial" w:hAnsi="Arial"/>
          <w:sz w:val="20"/>
          <w:szCs w:val="20"/>
        </w:rPr>
        <w:t>emand)</w:t>
      </w:r>
      <w:r w:rsidR="006D12C9">
        <w:rPr>
          <w:rFonts w:ascii="Arial" w:hAnsi="Arial"/>
          <w:sz w:val="20"/>
          <w:szCs w:val="20"/>
        </w:rPr>
        <w:t>, bu</w:t>
      </w:r>
      <w:r>
        <w:rPr>
          <w:rFonts w:ascii="Arial" w:hAnsi="Arial"/>
          <w:sz w:val="20"/>
          <w:szCs w:val="20"/>
        </w:rPr>
        <w:t xml:space="preserve">t approximately $400,000 </w:t>
      </w:r>
      <w:r w:rsidR="006659FD">
        <w:rPr>
          <w:rFonts w:ascii="Arial" w:hAnsi="Arial"/>
          <w:sz w:val="20"/>
          <w:szCs w:val="20"/>
        </w:rPr>
        <w:t xml:space="preserve">of that amount </w:t>
      </w:r>
      <w:r>
        <w:rPr>
          <w:rFonts w:ascii="Arial" w:hAnsi="Arial"/>
          <w:sz w:val="20"/>
          <w:szCs w:val="20"/>
        </w:rPr>
        <w:t>went toward increasing rental assistance awards to current Fair Market Rent amounts</w:t>
      </w:r>
      <w:r w:rsidR="00ED3207">
        <w:rPr>
          <w:rFonts w:ascii="Arial" w:hAnsi="Arial"/>
          <w:sz w:val="20"/>
          <w:szCs w:val="20"/>
        </w:rPr>
        <w:t xml:space="preserve"> for renewal projects</w:t>
      </w:r>
      <w:r>
        <w:rPr>
          <w:rFonts w:ascii="Arial" w:hAnsi="Arial"/>
          <w:sz w:val="20"/>
          <w:szCs w:val="20"/>
        </w:rPr>
        <w:t>.  This resulted in the bottom-ranked renewal project not being awarded funding.</w:t>
      </w:r>
    </w:p>
    <w:p w14:paraId="50F890EB" w14:textId="6ADC61CF" w:rsidR="00ED3207" w:rsidRPr="00B2652B" w:rsidRDefault="00ED3207" w:rsidP="00DC4362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HUD did not award funding to the new CoC-wide RRH project.</w:t>
      </w:r>
    </w:p>
    <w:p w14:paraId="43A2E231" w14:textId="23A12542" w:rsidR="005C25A8" w:rsidRPr="00B2652B" w:rsidRDefault="00B2652B" w:rsidP="00C42A01">
      <w:pPr>
        <w:pStyle w:val="NoSpacing"/>
        <w:numPr>
          <w:ilvl w:val="0"/>
          <w:numId w:val="18"/>
        </w:numPr>
        <w:rPr>
          <w:rFonts w:ascii="Arial" w:hAnsi="Arial"/>
          <w:sz w:val="20"/>
          <w:szCs w:val="20"/>
        </w:rPr>
      </w:pPr>
      <w:r w:rsidRPr="00B2652B">
        <w:rPr>
          <w:rFonts w:ascii="Arial" w:hAnsi="Arial"/>
          <w:sz w:val="20"/>
          <w:szCs w:val="20"/>
        </w:rPr>
        <w:t>HUD has not yet released debriefing</w:t>
      </w:r>
      <w:r>
        <w:rPr>
          <w:rFonts w:ascii="Arial" w:hAnsi="Arial"/>
          <w:sz w:val="20"/>
          <w:szCs w:val="20"/>
        </w:rPr>
        <w:t xml:space="preserve"> information, so we do not know our overall score or how we performed in v</w:t>
      </w:r>
      <w:r w:rsidR="006D12C9">
        <w:rPr>
          <w:rFonts w:ascii="Arial" w:hAnsi="Arial"/>
          <w:sz w:val="20"/>
          <w:szCs w:val="20"/>
        </w:rPr>
        <w:t>arious areas of the application or in comparison to other CoC’s.</w:t>
      </w:r>
      <w:r w:rsidR="00ED3207">
        <w:rPr>
          <w:rFonts w:ascii="Arial" w:hAnsi="Arial"/>
          <w:sz w:val="20"/>
          <w:szCs w:val="20"/>
        </w:rPr>
        <w:t xml:space="preserve">  Erica will communicate more information as she receives it.</w:t>
      </w:r>
    </w:p>
    <w:p w14:paraId="210EDB4C" w14:textId="77777777" w:rsidR="00FD5810" w:rsidRDefault="00FD5810" w:rsidP="005C25A8">
      <w:pPr>
        <w:pStyle w:val="NoSpacing"/>
        <w:rPr>
          <w:rFonts w:ascii="Arial" w:hAnsi="Arial"/>
          <w:b/>
          <w:sz w:val="20"/>
          <w:szCs w:val="20"/>
        </w:rPr>
      </w:pPr>
    </w:p>
    <w:p w14:paraId="781F0D8B" w14:textId="77777777" w:rsidR="00ED3207" w:rsidRDefault="00ED3207" w:rsidP="005C25A8">
      <w:pPr>
        <w:pStyle w:val="NoSpacing"/>
        <w:rPr>
          <w:rFonts w:ascii="Arial" w:hAnsi="Arial"/>
          <w:b/>
          <w:sz w:val="20"/>
          <w:szCs w:val="20"/>
        </w:rPr>
      </w:pPr>
    </w:p>
    <w:p w14:paraId="51FFBE5C" w14:textId="6CAFF4AA" w:rsidR="00FD5810" w:rsidRPr="00ED3207" w:rsidRDefault="00AD3422" w:rsidP="00ED3207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FY18 CoC Competition Priorities and Process</w:t>
      </w:r>
    </w:p>
    <w:p w14:paraId="226F9D53" w14:textId="5B36C1C3" w:rsidR="00E07D5C" w:rsidRDefault="00EE44B0" w:rsidP="00E07D5C">
      <w:pPr>
        <w:pStyle w:val="NoSpacing"/>
        <w:numPr>
          <w:ilvl w:val="1"/>
          <w:numId w:val="7"/>
        </w:numPr>
        <w:ind w:left="360"/>
        <w:rPr>
          <w:rFonts w:ascii="Arial" w:hAnsi="Arial"/>
          <w:sz w:val="20"/>
          <w:szCs w:val="20"/>
        </w:rPr>
      </w:pPr>
      <w:r w:rsidRPr="00383C62">
        <w:rPr>
          <w:rFonts w:ascii="Arial" w:hAnsi="Arial"/>
          <w:sz w:val="20"/>
          <w:szCs w:val="20"/>
        </w:rPr>
        <w:t>Erica pr</w:t>
      </w:r>
      <w:r>
        <w:rPr>
          <w:rFonts w:ascii="Arial" w:hAnsi="Arial"/>
          <w:sz w:val="20"/>
          <w:szCs w:val="20"/>
        </w:rPr>
        <w:t xml:space="preserve">esented the </w:t>
      </w:r>
      <w:r w:rsidR="00D93795">
        <w:rPr>
          <w:rFonts w:ascii="Arial" w:hAnsi="Arial"/>
          <w:sz w:val="20"/>
          <w:szCs w:val="20"/>
        </w:rPr>
        <w:t xml:space="preserve">Steering Committee’s </w:t>
      </w:r>
      <w:r w:rsidR="00E07D5C">
        <w:rPr>
          <w:rFonts w:ascii="Arial" w:hAnsi="Arial"/>
          <w:sz w:val="20"/>
          <w:szCs w:val="20"/>
        </w:rPr>
        <w:t xml:space="preserve">competition priorities and project ranking recommendations as detailed in the </w:t>
      </w:r>
      <w:r w:rsidR="00E07D5C">
        <w:rPr>
          <w:rFonts w:ascii="Arial" w:hAnsi="Arial"/>
          <w:i/>
          <w:sz w:val="20"/>
          <w:szCs w:val="20"/>
        </w:rPr>
        <w:t>FY2018 CoC Competition Plan and Priorities</w:t>
      </w:r>
      <w:r w:rsidR="00E07D5C">
        <w:rPr>
          <w:rFonts w:ascii="Arial" w:hAnsi="Arial"/>
          <w:sz w:val="20"/>
          <w:szCs w:val="20"/>
        </w:rPr>
        <w:t xml:space="preserve"> document.</w:t>
      </w:r>
    </w:p>
    <w:p w14:paraId="5EB436B8" w14:textId="6476419A" w:rsidR="00FD5810" w:rsidRDefault="00720FEA" w:rsidP="00FD5810">
      <w:pPr>
        <w:pStyle w:val="NoSpacing"/>
        <w:numPr>
          <w:ilvl w:val="2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recommended changes to competition priorities.</w:t>
      </w:r>
    </w:p>
    <w:p w14:paraId="79B8E751" w14:textId="77777777" w:rsidR="000071BC" w:rsidRDefault="00AC062A" w:rsidP="00FD5810">
      <w:pPr>
        <w:pStyle w:val="NoSpacing"/>
        <w:numPr>
          <w:ilvl w:val="2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recommended changes to project ranking.</w:t>
      </w:r>
    </w:p>
    <w:p w14:paraId="1FDF39BC" w14:textId="6F00C26C" w:rsidR="00720FEA" w:rsidRDefault="000071BC" w:rsidP="00FD5810">
      <w:pPr>
        <w:pStyle w:val="NoSpacing"/>
        <w:numPr>
          <w:ilvl w:val="2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Competition plan and timeline changes:</w:t>
      </w:r>
    </w:p>
    <w:p w14:paraId="6B1DBDA1" w14:textId="098ED5F5" w:rsidR="000071BC" w:rsidRDefault="00D52465" w:rsidP="000071BC">
      <w:pPr>
        <w:pStyle w:val="NoSpacing"/>
        <w:numPr>
          <w:ilvl w:val="3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changes to overall approach, data sources, and timeline</w:t>
      </w:r>
      <w:r w:rsidR="000E252B">
        <w:rPr>
          <w:rFonts w:ascii="Arial" w:hAnsi="Arial"/>
          <w:sz w:val="20"/>
          <w:szCs w:val="20"/>
        </w:rPr>
        <w:t>.</w:t>
      </w:r>
    </w:p>
    <w:p w14:paraId="73D62636" w14:textId="32153545" w:rsidR="00D52465" w:rsidRDefault="004A4C42" w:rsidP="000071BC">
      <w:pPr>
        <w:pStyle w:val="NoSpacing"/>
        <w:numPr>
          <w:ilvl w:val="3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One new possible eval</w:t>
      </w:r>
      <w:r w:rsidR="000E252B">
        <w:rPr>
          <w:rFonts w:ascii="Arial" w:hAnsi="Arial"/>
          <w:sz w:val="20"/>
          <w:szCs w:val="20"/>
        </w:rPr>
        <w:t>uation</w:t>
      </w:r>
      <w:r>
        <w:rPr>
          <w:rFonts w:ascii="Arial" w:hAnsi="Arial"/>
          <w:sz w:val="20"/>
          <w:szCs w:val="20"/>
        </w:rPr>
        <w:t xml:space="preserve"> item: program entries with past homeless history. </w:t>
      </w:r>
      <w:r w:rsidR="000E252B">
        <w:rPr>
          <w:rFonts w:ascii="Arial" w:hAnsi="Arial"/>
          <w:sz w:val="20"/>
          <w:szCs w:val="20"/>
        </w:rPr>
        <w:t xml:space="preserve">The </w:t>
      </w:r>
      <w:r>
        <w:rPr>
          <w:rFonts w:ascii="Arial" w:hAnsi="Arial"/>
          <w:sz w:val="20"/>
          <w:szCs w:val="20"/>
        </w:rPr>
        <w:t>Project Evaluation Workgroup is determining how to best measure this.</w:t>
      </w:r>
    </w:p>
    <w:p w14:paraId="43622489" w14:textId="2881D65D" w:rsidR="004A4C42" w:rsidRDefault="00E01416" w:rsidP="000071BC">
      <w:pPr>
        <w:pStyle w:val="NoSpacing"/>
        <w:numPr>
          <w:ilvl w:val="3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Remove match and leverage evaluation because of HUD limitations on collecting this information in the project applications.</w:t>
      </w:r>
    </w:p>
    <w:p w14:paraId="3A534B70" w14:textId="5D00B62D" w:rsidR="00E01416" w:rsidRDefault="00E01416" w:rsidP="000071BC">
      <w:pPr>
        <w:pStyle w:val="NoSpacing"/>
        <w:numPr>
          <w:ilvl w:val="3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Streamlining/modifying</w:t>
      </w:r>
      <w:r w:rsidR="00D1491B">
        <w:rPr>
          <w:rFonts w:ascii="Arial" w:hAnsi="Arial"/>
          <w:sz w:val="20"/>
          <w:szCs w:val="20"/>
        </w:rPr>
        <w:t xml:space="preserve"> existing evaluation items</w:t>
      </w:r>
      <w:r>
        <w:rPr>
          <w:rFonts w:ascii="Arial" w:hAnsi="Arial"/>
          <w:sz w:val="20"/>
          <w:szCs w:val="20"/>
        </w:rPr>
        <w:t>:</w:t>
      </w:r>
    </w:p>
    <w:p w14:paraId="18097CFD" w14:textId="72A962EB" w:rsidR="00E01416" w:rsidRDefault="00D1491B" w:rsidP="00E01416">
      <w:pPr>
        <w:pStyle w:val="NoSpacing"/>
        <w:numPr>
          <w:ilvl w:val="4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Review both b</w:t>
      </w:r>
      <w:r w:rsidR="00E01416">
        <w:rPr>
          <w:rFonts w:ascii="Arial" w:hAnsi="Arial"/>
          <w:sz w:val="20"/>
          <w:szCs w:val="20"/>
        </w:rPr>
        <w:t xml:space="preserve">ed and </w:t>
      </w:r>
      <w:r>
        <w:rPr>
          <w:rFonts w:ascii="Arial" w:hAnsi="Arial"/>
          <w:sz w:val="20"/>
          <w:szCs w:val="20"/>
        </w:rPr>
        <w:t>unit utilization</w:t>
      </w:r>
      <w:r w:rsidR="000E252B">
        <w:rPr>
          <w:rFonts w:ascii="Arial" w:hAnsi="Arial"/>
          <w:sz w:val="20"/>
          <w:szCs w:val="20"/>
        </w:rPr>
        <w:t>.</w:t>
      </w:r>
    </w:p>
    <w:p w14:paraId="43CEE76A" w14:textId="2CF5277E" w:rsidR="00E01416" w:rsidRDefault="00E01416" w:rsidP="00E01416">
      <w:pPr>
        <w:pStyle w:val="NoSpacing"/>
        <w:numPr>
          <w:ilvl w:val="4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Best practices evaluation: projects that received full points in last year’s competition would not be required to resubmit this year and would again receive full points.</w:t>
      </w:r>
    </w:p>
    <w:p w14:paraId="14CF3EB3" w14:textId="530C8A0C" w:rsidR="002F52EA" w:rsidRDefault="000E252B" w:rsidP="002F52EA">
      <w:pPr>
        <w:pStyle w:val="NoSpacing"/>
        <w:numPr>
          <w:ilvl w:val="2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 p</w:t>
      </w:r>
      <w:r w:rsidR="00CE3DDC">
        <w:rPr>
          <w:rFonts w:ascii="Arial" w:hAnsi="Arial"/>
          <w:sz w:val="20"/>
          <w:szCs w:val="20"/>
        </w:rPr>
        <w:t>roject priorities and considerations</w:t>
      </w:r>
      <w:r w:rsidR="002F52EA">
        <w:rPr>
          <w:rFonts w:ascii="Arial" w:hAnsi="Arial"/>
          <w:sz w:val="20"/>
          <w:szCs w:val="20"/>
        </w:rPr>
        <w:t>:</w:t>
      </w:r>
    </w:p>
    <w:p w14:paraId="1240A206" w14:textId="09633717" w:rsidR="00CE3DDC" w:rsidRDefault="0086324E" w:rsidP="00CE3DDC">
      <w:pPr>
        <w:pStyle w:val="NoSpacing"/>
        <w:numPr>
          <w:ilvl w:val="3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Apply</w:t>
      </w:r>
      <w:r w:rsidR="00CE3DDC">
        <w:rPr>
          <w:rFonts w:ascii="Arial" w:hAnsi="Arial"/>
          <w:sz w:val="20"/>
          <w:szCs w:val="20"/>
        </w:rPr>
        <w:t xml:space="preserve"> for a CoC-wide RRH project</w:t>
      </w:r>
      <w:r w:rsidR="000E252B">
        <w:rPr>
          <w:rFonts w:ascii="Arial" w:hAnsi="Arial"/>
          <w:sz w:val="20"/>
          <w:szCs w:val="20"/>
        </w:rPr>
        <w:t>.</w:t>
      </w:r>
    </w:p>
    <w:p w14:paraId="54946D36" w14:textId="3E4523E7" w:rsidR="00CE3DDC" w:rsidRDefault="00CE3DDC" w:rsidP="00CE3DDC">
      <w:pPr>
        <w:pStyle w:val="NoSpacing"/>
        <w:numPr>
          <w:ilvl w:val="3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Project conversions: TH to either PSH or RRH</w:t>
      </w:r>
      <w:r w:rsidR="000E252B">
        <w:rPr>
          <w:rFonts w:ascii="Arial" w:hAnsi="Arial"/>
          <w:sz w:val="20"/>
          <w:szCs w:val="20"/>
        </w:rPr>
        <w:t>.</w:t>
      </w:r>
    </w:p>
    <w:p w14:paraId="6DA527B3" w14:textId="17336903" w:rsidR="002F52EA" w:rsidRPr="005B0AEC" w:rsidRDefault="00EC131F" w:rsidP="002F52EA">
      <w:pPr>
        <w:pStyle w:val="NoSpacing"/>
        <w:numPr>
          <w:ilvl w:val="3"/>
          <w:numId w:val="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New </w:t>
      </w:r>
      <w:r w:rsidR="00CE3DDC">
        <w:rPr>
          <w:rFonts w:ascii="Arial" w:hAnsi="Arial"/>
          <w:sz w:val="20"/>
          <w:szCs w:val="20"/>
        </w:rPr>
        <w:t>PSH</w:t>
      </w:r>
      <w:r>
        <w:rPr>
          <w:rFonts w:ascii="Arial" w:hAnsi="Arial"/>
          <w:sz w:val="20"/>
          <w:szCs w:val="20"/>
        </w:rPr>
        <w:t xml:space="preserve">: </w:t>
      </w:r>
      <w:r w:rsidR="009F5C85">
        <w:rPr>
          <w:rFonts w:ascii="Arial" w:hAnsi="Arial"/>
          <w:sz w:val="20"/>
          <w:szCs w:val="20"/>
        </w:rPr>
        <w:t xml:space="preserve">the CoC will identify regions where PSH is </w:t>
      </w:r>
      <w:r w:rsidR="00477415">
        <w:rPr>
          <w:rFonts w:ascii="Arial" w:hAnsi="Arial"/>
          <w:sz w:val="20"/>
          <w:szCs w:val="20"/>
        </w:rPr>
        <w:t xml:space="preserve">most </w:t>
      </w:r>
      <w:r w:rsidR="009F5C85">
        <w:rPr>
          <w:rFonts w:ascii="Arial" w:hAnsi="Arial"/>
          <w:sz w:val="20"/>
          <w:szCs w:val="20"/>
        </w:rPr>
        <w:t xml:space="preserve">needed and will consider new projects only for those areas.  Determination of need will be based on the </w:t>
      </w:r>
      <w:r w:rsidR="009F5C85" w:rsidRPr="000E252B">
        <w:rPr>
          <w:rFonts w:ascii="Arial" w:hAnsi="Arial"/>
          <w:i/>
          <w:sz w:val="20"/>
          <w:szCs w:val="20"/>
        </w:rPr>
        <w:t>Ohio BoSCoC Homeless System Needs Analysis</w:t>
      </w:r>
      <w:r w:rsidR="009F5C85">
        <w:rPr>
          <w:rFonts w:ascii="Arial" w:hAnsi="Arial"/>
          <w:sz w:val="20"/>
          <w:szCs w:val="20"/>
        </w:rPr>
        <w:t>.</w:t>
      </w:r>
    </w:p>
    <w:p w14:paraId="6329B2A2" w14:textId="087CEBE7" w:rsidR="00DC4362" w:rsidRPr="005B0AEC" w:rsidRDefault="00DC4362" w:rsidP="00DC4362">
      <w:pPr>
        <w:pStyle w:val="NoSpacing"/>
        <w:numPr>
          <w:ilvl w:val="1"/>
          <w:numId w:val="7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Erica </w:t>
      </w:r>
      <w:r w:rsidRPr="005B0AEC">
        <w:rPr>
          <w:rFonts w:ascii="Arial" w:hAnsi="Arial"/>
          <w:sz w:val="20"/>
          <w:szCs w:val="20"/>
        </w:rPr>
        <w:t xml:space="preserve">requested that the Board approve the </w:t>
      </w:r>
      <w:r w:rsidR="003A23BF">
        <w:rPr>
          <w:rFonts w:ascii="Arial" w:hAnsi="Arial"/>
          <w:i/>
          <w:sz w:val="20"/>
          <w:szCs w:val="20"/>
        </w:rPr>
        <w:t>FY2018 CoC Competition Plan and Priorities</w:t>
      </w:r>
      <w:r w:rsidRPr="005B0AEC">
        <w:rPr>
          <w:rFonts w:ascii="Arial" w:hAnsi="Arial"/>
          <w:sz w:val="20"/>
          <w:szCs w:val="20"/>
        </w:rPr>
        <w:t>:</w:t>
      </w:r>
    </w:p>
    <w:p w14:paraId="51B6C9A4" w14:textId="58E4021E" w:rsidR="00DC4362" w:rsidRPr="00DF412C" w:rsidRDefault="009C5BA8" w:rsidP="00DC4362">
      <w:pPr>
        <w:pStyle w:val="NoSpacing"/>
        <w:numPr>
          <w:ilvl w:val="1"/>
          <w:numId w:val="17"/>
        </w:numPr>
        <w:ind w:left="1080"/>
        <w:rPr>
          <w:rFonts w:ascii="Arial" w:hAnsi="Arial"/>
          <w:color w:val="000000" w:themeColor="text1"/>
          <w:sz w:val="20"/>
          <w:szCs w:val="20"/>
        </w:rPr>
      </w:pPr>
      <w:r w:rsidRPr="00DF412C">
        <w:rPr>
          <w:rFonts w:ascii="Arial" w:hAnsi="Arial"/>
          <w:color w:val="000000" w:themeColor="text1"/>
          <w:sz w:val="20"/>
          <w:szCs w:val="20"/>
        </w:rPr>
        <w:t>Heather Thabet</w:t>
      </w:r>
      <w:r w:rsidR="00DC4362" w:rsidRPr="00DF412C">
        <w:rPr>
          <w:rFonts w:ascii="Arial" w:hAnsi="Arial"/>
          <w:color w:val="000000" w:themeColor="text1"/>
          <w:sz w:val="20"/>
          <w:szCs w:val="20"/>
        </w:rPr>
        <w:t xml:space="preserve"> made a motion to approve the </w:t>
      </w:r>
      <w:r w:rsidR="00DC4362" w:rsidRPr="00DF412C">
        <w:rPr>
          <w:rFonts w:ascii="Arial" w:hAnsi="Arial"/>
          <w:i/>
          <w:color w:val="000000" w:themeColor="text1"/>
          <w:sz w:val="20"/>
          <w:szCs w:val="20"/>
        </w:rPr>
        <w:t>Ohio BoSCoC 2018 PIT Count Methodology</w:t>
      </w:r>
      <w:r w:rsidR="00DC4362" w:rsidRPr="00DF412C">
        <w:rPr>
          <w:rFonts w:ascii="Arial" w:hAnsi="Arial"/>
          <w:color w:val="000000" w:themeColor="text1"/>
          <w:sz w:val="20"/>
          <w:szCs w:val="20"/>
        </w:rPr>
        <w:t xml:space="preserve">; </w:t>
      </w:r>
      <w:r w:rsidRPr="00DF412C">
        <w:rPr>
          <w:rFonts w:ascii="Arial" w:hAnsi="Arial"/>
          <w:color w:val="000000" w:themeColor="text1"/>
          <w:sz w:val="20"/>
          <w:szCs w:val="20"/>
        </w:rPr>
        <w:t>Fred Berry</w:t>
      </w:r>
      <w:r w:rsidR="00DC4362" w:rsidRPr="00DF412C">
        <w:rPr>
          <w:rFonts w:ascii="Arial" w:hAnsi="Arial"/>
          <w:color w:val="000000" w:themeColor="text1"/>
          <w:sz w:val="20"/>
          <w:szCs w:val="20"/>
        </w:rPr>
        <w:t xml:space="preserve"> seconded the motion. </w:t>
      </w:r>
    </w:p>
    <w:p w14:paraId="6C627BC8" w14:textId="2A644EF5" w:rsidR="00DC4362" w:rsidRPr="00383C62" w:rsidRDefault="00FF57E2" w:rsidP="00DC4362">
      <w:pPr>
        <w:pStyle w:val="NoSpacing"/>
        <w:numPr>
          <w:ilvl w:val="1"/>
          <w:numId w:val="17"/>
        </w:numPr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Vote: 20</w:t>
      </w:r>
      <w:r w:rsidR="00DC4362">
        <w:rPr>
          <w:rFonts w:ascii="Arial" w:hAnsi="Arial"/>
          <w:sz w:val="20"/>
          <w:szCs w:val="20"/>
        </w:rPr>
        <w:t xml:space="preserve"> for, 0 opposed, 0 abstained</w:t>
      </w:r>
    </w:p>
    <w:p w14:paraId="3EEF3333" w14:textId="77777777" w:rsidR="00F679A2" w:rsidRDefault="00F679A2" w:rsidP="00B252BB">
      <w:pPr>
        <w:pStyle w:val="NoSpacing"/>
        <w:rPr>
          <w:rFonts w:ascii="Arial" w:hAnsi="Arial"/>
          <w:b/>
          <w:sz w:val="20"/>
          <w:szCs w:val="20"/>
        </w:rPr>
      </w:pPr>
    </w:p>
    <w:p w14:paraId="798C09A2" w14:textId="1488B7F0" w:rsidR="00B252BB" w:rsidRPr="001A3B24" w:rsidRDefault="00AD3422" w:rsidP="00B252BB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2018 Ohio BoSCoC Performance Management Plan</w:t>
      </w:r>
    </w:p>
    <w:p w14:paraId="0C5A9174" w14:textId="0CDA21A5" w:rsidR="00BC5112" w:rsidRDefault="00C762E6" w:rsidP="00DC4362">
      <w:pPr>
        <w:pStyle w:val="NoSpacing"/>
        <w:numPr>
          <w:ilvl w:val="0"/>
          <w:numId w:val="2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Barbara</w:t>
      </w:r>
      <w:r w:rsidR="000138DF" w:rsidRPr="00383C6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presented the Performance and Outcomes Committee’s recommendations for the </w:t>
      </w:r>
      <w:r w:rsidRPr="00C762E6">
        <w:rPr>
          <w:rFonts w:ascii="Arial" w:hAnsi="Arial"/>
          <w:i/>
          <w:sz w:val="20"/>
          <w:szCs w:val="20"/>
        </w:rPr>
        <w:t>2018 Performance Management Plan</w:t>
      </w:r>
      <w:r w:rsidR="00BA2C99">
        <w:rPr>
          <w:rFonts w:ascii="Arial" w:hAnsi="Arial"/>
          <w:sz w:val="20"/>
          <w:szCs w:val="20"/>
        </w:rPr>
        <w:t>:</w:t>
      </w:r>
    </w:p>
    <w:p w14:paraId="6F00CD8A" w14:textId="7D2B0378" w:rsidR="00BA2C99" w:rsidRPr="00B94155" w:rsidRDefault="00B94155" w:rsidP="00B94155">
      <w:pPr>
        <w:pStyle w:val="NoSpacing"/>
        <w:numPr>
          <w:ilvl w:val="1"/>
          <w:numId w:val="2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="00BA2C99" w:rsidRPr="00B94155">
        <w:rPr>
          <w:rFonts w:ascii="Arial" w:hAnsi="Arial"/>
          <w:sz w:val="20"/>
          <w:szCs w:val="20"/>
        </w:rPr>
        <w:t>anguage</w:t>
      </w:r>
      <w:r w:rsidR="00597D48">
        <w:rPr>
          <w:rFonts w:ascii="Arial" w:hAnsi="Arial"/>
          <w:sz w:val="20"/>
          <w:szCs w:val="20"/>
        </w:rPr>
        <w:t xml:space="preserve"> was revised</w:t>
      </w:r>
      <w:r w:rsidR="00BA2C99" w:rsidRPr="00B94155">
        <w:rPr>
          <w:rFonts w:ascii="Arial" w:hAnsi="Arial"/>
          <w:sz w:val="20"/>
          <w:szCs w:val="20"/>
        </w:rPr>
        <w:t xml:space="preserve"> to reflect APR submittal requirements.</w:t>
      </w:r>
    </w:p>
    <w:p w14:paraId="6CABCAC2" w14:textId="6301F6CF" w:rsidR="00BA2C99" w:rsidRDefault="00BA2C99" w:rsidP="00BA2C99">
      <w:pPr>
        <w:pStyle w:val="NoSpacing"/>
        <w:numPr>
          <w:ilvl w:val="1"/>
          <w:numId w:val="2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Several performance measures were updated to look at households instead of individuals.</w:t>
      </w:r>
    </w:p>
    <w:p w14:paraId="12EE821B" w14:textId="3ACF85CD" w:rsidR="00BA2C99" w:rsidRDefault="00BA2C99" w:rsidP="00BA2C99">
      <w:pPr>
        <w:pStyle w:val="NoSpacing"/>
        <w:numPr>
          <w:ilvl w:val="1"/>
          <w:numId w:val="2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combined Receipt of Non-Cash Benefits and Health Insurance measure was separated into two measures and goals were updated.</w:t>
      </w:r>
    </w:p>
    <w:p w14:paraId="5D665B75" w14:textId="42CFEB47" w:rsidR="00BA2C99" w:rsidRDefault="00BA2C99" w:rsidP="00BA2C99">
      <w:pPr>
        <w:pStyle w:val="NoSpacing"/>
        <w:numPr>
          <w:ilvl w:val="1"/>
          <w:numId w:val="2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Placeholders were added for measuring the use of the VI-SPDAT score for PSH and RRH- the goal will be determined at a later date and finalized in next year’s plan.</w:t>
      </w:r>
    </w:p>
    <w:p w14:paraId="05F0E35F" w14:textId="026361C0" w:rsidR="005E5116" w:rsidRDefault="005E5116" w:rsidP="00BA2C99">
      <w:pPr>
        <w:pStyle w:val="NoSpacing"/>
        <w:numPr>
          <w:ilvl w:val="1"/>
          <w:numId w:val="2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Language was revised to better reflect how the Length of Time Homeless goal is measured in the System Performance Measures section.</w:t>
      </w:r>
    </w:p>
    <w:p w14:paraId="2738ACB4" w14:textId="427B0B63" w:rsidR="00C762E6" w:rsidRPr="005B0AEC" w:rsidRDefault="00C762E6" w:rsidP="00C762E6">
      <w:pPr>
        <w:pStyle w:val="NoSpacing"/>
        <w:numPr>
          <w:ilvl w:val="1"/>
          <w:numId w:val="7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Erica </w:t>
      </w:r>
      <w:r w:rsidRPr="005B0AEC">
        <w:rPr>
          <w:rFonts w:ascii="Arial" w:hAnsi="Arial"/>
          <w:sz w:val="20"/>
          <w:szCs w:val="20"/>
        </w:rPr>
        <w:t xml:space="preserve">requested that the Board approve the </w:t>
      </w:r>
      <w:r w:rsidRPr="00C762E6">
        <w:rPr>
          <w:rFonts w:ascii="Arial" w:hAnsi="Arial"/>
          <w:i/>
          <w:sz w:val="20"/>
          <w:szCs w:val="20"/>
        </w:rPr>
        <w:t>2018 Performance Management Plan</w:t>
      </w:r>
      <w:r w:rsidRPr="005B0AEC">
        <w:rPr>
          <w:rFonts w:ascii="Arial" w:hAnsi="Arial"/>
          <w:sz w:val="20"/>
          <w:szCs w:val="20"/>
        </w:rPr>
        <w:t>:</w:t>
      </w:r>
    </w:p>
    <w:p w14:paraId="444640EB" w14:textId="1FDD3642" w:rsidR="00C762E6" w:rsidRPr="009B33A9" w:rsidRDefault="009B33A9" w:rsidP="00C762E6">
      <w:pPr>
        <w:pStyle w:val="NoSpacing"/>
        <w:numPr>
          <w:ilvl w:val="1"/>
          <w:numId w:val="17"/>
        </w:numPr>
        <w:ind w:left="1080"/>
        <w:rPr>
          <w:rFonts w:ascii="Arial" w:hAnsi="Arial"/>
          <w:color w:val="000000" w:themeColor="text1"/>
          <w:sz w:val="20"/>
          <w:szCs w:val="20"/>
        </w:rPr>
      </w:pPr>
      <w:r w:rsidRPr="009B33A9">
        <w:rPr>
          <w:rFonts w:ascii="Arial" w:hAnsi="Arial"/>
          <w:color w:val="000000" w:themeColor="text1"/>
          <w:sz w:val="20"/>
          <w:szCs w:val="20"/>
        </w:rPr>
        <w:t>Marva</w:t>
      </w:r>
      <w:r w:rsidR="00C762E6" w:rsidRPr="009B33A9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9B33A9">
        <w:rPr>
          <w:rFonts w:ascii="Arial" w:hAnsi="Arial"/>
          <w:color w:val="000000" w:themeColor="text1"/>
          <w:sz w:val="20"/>
          <w:szCs w:val="20"/>
        </w:rPr>
        <w:t xml:space="preserve">Cowan </w:t>
      </w:r>
      <w:r w:rsidR="00C762E6" w:rsidRPr="009B33A9">
        <w:rPr>
          <w:rFonts w:ascii="Arial" w:hAnsi="Arial"/>
          <w:color w:val="000000" w:themeColor="text1"/>
          <w:sz w:val="20"/>
          <w:szCs w:val="20"/>
        </w:rPr>
        <w:t xml:space="preserve">made a motion to approve the </w:t>
      </w:r>
      <w:r w:rsidR="00C762E6" w:rsidRPr="009B33A9">
        <w:rPr>
          <w:rFonts w:ascii="Arial" w:hAnsi="Arial"/>
          <w:i/>
          <w:color w:val="000000" w:themeColor="text1"/>
          <w:sz w:val="20"/>
          <w:szCs w:val="20"/>
        </w:rPr>
        <w:t>2018 Performance Management Plan</w:t>
      </w:r>
      <w:r w:rsidR="00C762E6" w:rsidRPr="009B33A9">
        <w:rPr>
          <w:rFonts w:ascii="Arial" w:hAnsi="Arial"/>
          <w:color w:val="000000" w:themeColor="text1"/>
          <w:sz w:val="20"/>
          <w:szCs w:val="20"/>
        </w:rPr>
        <w:t xml:space="preserve">; </w:t>
      </w:r>
      <w:r w:rsidRPr="009B33A9">
        <w:rPr>
          <w:rFonts w:ascii="Arial" w:hAnsi="Arial"/>
          <w:color w:val="000000" w:themeColor="text1"/>
          <w:sz w:val="20"/>
          <w:szCs w:val="20"/>
        </w:rPr>
        <w:t>Debbie Kubena-Yatsko</w:t>
      </w:r>
      <w:r w:rsidR="00C762E6" w:rsidRPr="009B33A9">
        <w:rPr>
          <w:rFonts w:ascii="Arial" w:hAnsi="Arial"/>
          <w:color w:val="000000" w:themeColor="text1"/>
          <w:sz w:val="20"/>
          <w:szCs w:val="20"/>
        </w:rPr>
        <w:t xml:space="preserve"> seconded the motion. </w:t>
      </w:r>
    </w:p>
    <w:p w14:paraId="563554CE" w14:textId="70AE623E" w:rsidR="00C762E6" w:rsidRPr="00383C62" w:rsidRDefault="009B33A9" w:rsidP="00C762E6">
      <w:pPr>
        <w:pStyle w:val="NoSpacing"/>
        <w:numPr>
          <w:ilvl w:val="1"/>
          <w:numId w:val="17"/>
        </w:numPr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Vote: 20</w:t>
      </w:r>
      <w:r w:rsidR="00C762E6">
        <w:rPr>
          <w:rFonts w:ascii="Arial" w:hAnsi="Arial"/>
          <w:sz w:val="20"/>
          <w:szCs w:val="20"/>
        </w:rPr>
        <w:t xml:space="preserve"> for, 0 opposed, 0 abstained</w:t>
      </w:r>
    </w:p>
    <w:p w14:paraId="49873182" w14:textId="77777777" w:rsidR="00DC4362" w:rsidRDefault="00DC4362" w:rsidP="00AD3422">
      <w:pPr>
        <w:pStyle w:val="NoSpacing"/>
        <w:rPr>
          <w:rFonts w:ascii="Arial" w:hAnsi="Arial"/>
          <w:sz w:val="20"/>
          <w:szCs w:val="20"/>
        </w:rPr>
      </w:pPr>
    </w:p>
    <w:p w14:paraId="4CE2211A" w14:textId="297E077A" w:rsidR="00AD3422" w:rsidRPr="001A3B24" w:rsidRDefault="00AD3422" w:rsidP="00AD3422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Coordinated Entry Update</w:t>
      </w:r>
    </w:p>
    <w:p w14:paraId="1A1CB28C" w14:textId="1293E6CA" w:rsidR="00AD3422" w:rsidRDefault="00360A13" w:rsidP="00DC4362">
      <w:pPr>
        <w:pStyle w:val="NoSpacing"/>
        <w:numPr>
          <w:ilvl w:val="0"/>
          <w:numId w:val="2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 of the ho</w:t>
      </w:r>
      <w:r w:rsidR="0047556F">
        <w:rPr>
          <w:rFonts w:ascii="Arial" w:hAnsi="Arial"/>
          <w:sz w:val="20"/>
          <w:szCs w:val="20"/>
        </w:rPr>
        <w:t>meless planning regions have</w:t>
      </w:r>
      <w:r>
        <w:rPr>
          <w:rFonts w:ascii="Arial" w:hAnsi="Arial"/>
          <w:sz w:val="20"/>
          <w:szCs w:val="20"/>
        </w:rPr>
        <w:t xml:space="preserve"> </w:t>
      </w:r>
      <w:r w:rsidR="0047556F">
        <w:rPr>
          <w:rFonts w:ascii="Arial" w:hAnsi="Arial"/>
          <w:sz w:val="20"/>
          <w:szCs w:val="20"/>
        </w:rPr>
        <w:t>launched coordinated entry</w:t>
      </w:r>
      <w:r w:rsidR="00577742">
        <w:rPr>
          <w:rFonts w:ascii="Arial" w:hAnsi="Arial"/>
          <w:sz w:val="20"/>
          <w:szCs w:val="20"/>
        </w:rPr>
        <w:t>.</w:t>
      </w:r>
    </w:p>
    <w:p w14:paraId="343CE551" w14:textId="4F099000" w:rsidR="00360A13" w:rsidRDefault="00360A13" w:rsidP="00DC4362">
      <w:pPr>
        <w:pStyle w:val="NoSpacing"/>
        <w:numPr>
          <w:ilvl w:val="0"/>
          <w:numId w:val="2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Chloe Greene reminded the group about the upcoming BoSCoC diversion training webinar</w:t>
      </w:r>
      <w:r w:rsidR="0047556F">
        <w:rPr>
          <w:rFonts w:ascii="Arial" w:hAnsi="Arial"/>
          <w:sz w:val="20"/>
          <w:szCs w:val="20"/>
        </w:rPr>
        <w:t>.</w:t>
      </w:r>
    </w:p>
    <w:p w14:paraId="53C6770F" w14:textId="77777777" w:rsidR="0047556F" w:rsidRDefault="0047556F" w:rsidP="00AD3422">
      <w:pPr>
        <w:pStyle w:val="NoSpacing"/>
        <w:rPr>
          <w:rFonts w:ascii="Arial" w:hAnsi="Arial"/>
          <w:sz w:val="20"/>
          <w:szCs w:val="20"/>
        </w:rPr>
      </w:pPr>
    </w:p>
    <w:p w14:paraId="6B8CFB13" w14:textId="61941D49" w:rsidR="00AD3422" w:rsidRPr="001A3B24" w:rsidRDefault="00AD3422" w:rsidP="00AD3422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Youth Homelessness Demonstration Program Update</w:t>
      </w:r>
    </w:p>
    <w:p w14:paraId="1A88F6CC" w14:textId="25730057" w:rsidR="00AD3422" w:rsidRDefault="00577742" w:rsidP="00DC4362">
      <w:pPr>
        <w:pStyle w:val="NoSpacing"/>
        <w:numPr>
          <w:ilvl w:val="0"/>
          <w:numId w:val="2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final draft of the Coordinated Community Plan was submitted to HUD and was approved</w:t>
      </w:r>
      <w:r w:rsidR="00172996">
        <w:rPr>
          <w:rFonts w:ascii="Arial" w:hAnsi="Arial"/>
          <w:sz w:val="20"/>
          <w:szCs w:val="20"/>
        </w:rPr>
        <w:t xml:space="preserve"> in late December</w:t>
      </w:r>
      <w:r w:rsidR="003E5BEB">
        <w:rPr>
          <w:rFonts w:ascii="Arial" w:hAnsi="Arial"/>
          <w:sz w:val="20"/>
          <w:szCs w:val="20"/>
        </w:rPr>
        <w:t xml:space="preserve">- </w:t>
      </w:r>
      <w:r w:rsidR="0047556F">
        <w:rPr>
          <w:rFonts w:ascii="Arial" w:hAnsi="Arial"/>
          <w:sz w:val="20"/>
          <w:szCs w:val="20"/>
        </w:rPr>
        <w:t>Erica will issue a copy to the Board soon.  Approval of the plan</w:t>
      </w:r>
      <w:r>
        <w:rPr>
          <w:rFonts w:ascii="Arial" w:hAnsi="Arial"/>
          <w:sz w:val="20"/>
          <w:szCs w:val="20"/>
        </w:rPr>
        <w:t xml:space="preserve"> means that new project applications can now be submitted to HUD.</w:t>
      </w:r>
    </w:p>
    <w:p w14:paraId="34099731" w14:textId="639A3B22" w:rsidR="00A3149E" w:rsidRDefault="00A3149E" w:rsidP="00DC4362">
      <w:pPr>
        <w:pStyle w:val="NoSpacing"/>
        <w:numPr>
          <w:ilvl w:val="0"/>
          <w:numId w:val="2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Ragan Claypool asked if </w:t>
      </w:r>
      <w:r w:rsidR="00D55112">
        <w:rPr>
          <w:rFonts w:ascii="Arial" w:hAnsi="Arial"/>
          <w:sz w:val="20"/>
          <w:szCs w:val="20"/>
        </w:rPr>
        <w:t>the CoC is considering applying</w:t>
      </w:r>
      <w:r w:rsidR="004D43C2">
        <w:rPr>
          <w:rFonts w:ascii="Arial" w:hAnsi="Arial"/>
          <w:sz w:val="20"/>
          <w:szCs w:val="20"/>
        </w:rPr>
        <w:t xml:space="preserve"> in the second round of YHDP.  Erica said</w:t>
      </w:r>
      <w:r w:rsidR="00A85E5A">
        <w:rPr>
          <w:rFonts w:ascii="Arial" w:hAnsi="Arial"/>
          <w:sz w:val="20"/>
          <w:szCs w:val="20"/>
        </w:rPr>
        <w:t xml:space="preserve"> she’s not sure if we would be eligible or likely to be selected since we were awarded in the previous round- she’ll look at the NOFA to confirm.  Erica also expressed</w:t>
      </w:r>
      <w:r w:rsidR="004D43C2">
        <w:rPr>
          <w:rFonts w:ascii="Arial" w:hAnsi="Arial"/>
          <w:sz w:val="20"/>
          <w:szCs w:val="20"/>
        </w:rPr>
        <w:t xml:space="preserve"> that CoC staff does </w:t>
      </w:r>
      <w:r w:rsidR="00A85E5A">
        <w:rPr>
          <w:rFonts w:ascii="Arial" w:hAnsi="Arial"/>
          <w:sz w:val="20"/>
          <w:szCs w:val="20"/>
        </w:rPr>
        <w:t>not currently have the capacity to take on a new YHDP project.</w:t>
      </w:r>
    </w:p>
    <w:p w14:paraId="03437146" w14:textId="77777777" w:rsidR="000319C0" w:rsidRPr="00CE5E46" w:rsidRDefault="000319C0" w:rsidP="00172996">
      <w:pPr>
        <w:pStyle w:val="NoSpacing"/>
        <w:ind w:left="720"/>
        <w:rPr>
          <w:rFonts w:ascii="Arial" w:hAnsi="Arial"/>
          <w:sz w:val="20"/>
          <w:szCs w:val="20"/>
        </w:rPr>
      </w:pPr>
    </w:p>
    <w:p w14:paraId="0A347382" w14:textId="14EAD00B" w:rsidR="00AD3422" w:rsidRPr="001A3B24" w:rsidRDefault="00AD3422" w:rsidP="00AD3422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Veterans Homelessness Update</w:t>
      </w:r>
    </w:p>
    <w:p w14:paraId="193FEA9E" w14:textId="47E0C732" w:rsidR="00AD3422" w:rsidRPr="00CE5E46" w:rsidRDefault="00A85E5A" w:rsidP="000319C0">
      <w:pPr>
        <w:pStyle w:val="NoSpacing"/>
        <w:numPr>
          <w:ilvl w:val="0"/>
          <w:numId w:val="2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BoSCoC continues to work on meeting the </w:t>
      </w:r>
      <w:r w:rsidR="00172996">
        <w:rPr>
          <w:rFonts w:ascii="Arial" w:hAnsi="Arial"/>
          <w:sz w:val="20"/>
          <w:szCs w:val="20"/>
        </w:rPr>
        <w:t>federal benchmarks.</w:t>
      </w:r>
    </w:p>
    <w:p w14:paraId="44A3E05D" w14:textId="77777777" w:rsidR="005C25A8" w:rsidRDefault="005C25A8" w:rsidP="005C25A8">
      <w:pPr>
        <w:rPr>
          <w:rFonts w:ascii="Arial" w:hAnsi="Arial"/>
          <w:b/>
          <w:u w:val="single"/>
        </w:rPr>
      </w:pPr>
    </w:p>
    <w:p w14:paraId="0F3BEE7F" w14:textId="32F0D94D" w:rsidR="00AD3422" w:rsidRPr="001A3B24" w:rsidRDefault="00AD3422" w:rsidP="00AD3422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Annual </w:t>
      </w:r>
      <w:r>
        <w:rPr>
          <w:rFonts w:ascii="Arial" w:hAnsi="Arial"/>
          <w:b/>
          <w:sz w:val="20"/>
          <w:szCs w:val="20"/>
        </w:rPr>
        <w:t xml:space="preserve">CoC </w:t>
      </w:r>
      <w:r>
        <w:rPr>
          <w:rFonts w:ascii="Arial" w:hAnsi="Arial"/>
          <w:b/>
          <w:sz w:val="20"/>
          <w:szCs w:val="20"/>
        </w:rPr>
        <w:t>Board Retreat</w:t>
      </w:r>
    </w:p>
    <w:p w14:paraId="09392FF8" w14:textId="7FAE15ED" w:rsidR="00AD3422" w:rsidRDefault="00AD3422" w:rsidP="000319C0">
      <w:pPr>
        <w:pStyle w:val="NoSpacing"/>
        <w:numPr>
          <w:ilvl w:val="0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Monday, February 5, 10:00am-4:00pm</w:t>
      </w:r>
      <w:r w:rsidR="00A85E5A">
        <w:rPr>
          <w:rFonts w:ascii="Arial" w:hAnsi="Arial"/>
          <w:sz w:val="20"/>
          <w:szCs w:val="20"/>
        </w:rPr>
        <w:t>, Beech Maple Lodge, Blacklick Park.</w:t>
      </w:r>
    </w:p>
    <w:p w14:paraId="102FD9D5" w14:textId="09F6863A" w:rsidR="00A85E5A" w:rsidRDefault="00A85E5A" w:rsidP="000319C0">
      <w:pPr>
        <w:pStyle w:val="NoSpacing"/>
        <w:numPr>
          <w:ilvl w:val="0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This is a strategic planning meeting to determine priorities and an action plan for the BoSCoC in 2018.</w:t>
      </w:r>
    </w:p>
    <w:p w14:paraId="16C4762E" w14:textId="57E5F90C" w:rsidR="00A85E5A" w:rsidRPr="00CE5E46" w:rsidRDefault="00A85E5A" w:rsidP="000319C0">
      <w:pPr>
        <w:pStyle w:val="NoSpacing"/>
        <w:numPr>
          <w:ilvl w:val="0"/>
          <w:numId w:val="2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Deb Helber f</w:t>
      </w:r>
      <w:r w:rsidR="009E486D">
        <w:rPr>
          <w:rFonts w:ascii="Arial" w:hAnsi="Arial"/>
          <w:sz w:val="20"/>
          <w:szCs w:val="20"/>
        </w:rPr>
        <w:t>rom Confluence Unlimited will</w:t>
      </w:r>
      <w:r>
        <w:rPr>
          <w:rFonts w:ascii="Arial" w:hAnsi="Arial"/>
          <w:sz w:val="20"/>
          <w:szCs w:val="20"/>
        </w:rPr>
        <w:t xml:space="preserve"> facilit</w:t>
      </w:r>
      <w:r w:rsidR="009E486D">
        <w:rPr>
          <w:rFonts w:ascii="Arial" w:hAnsi="Arial"/>
          <w:sz w:val="20"/>
          <w:szCs w:val="20"/>
        </w:rPr>
        <w:t>ate</w:t>
      </w:r>
      <w:r>
        <w:rPr>
          <w:rFonts w:ascii="Arial" w:hAnsi="Arial"/>
          <w:sz w:val="20"/>
          <w:szCs w:val="20"/>
        </w:rPr>
        <w:t xml:space="preserve"> the meeting</w:t>
      </w:r>
      <w:r w:rsidR="009E486D">
        <w:rPr>
          <w:rFonts w:ascii="Arial" w:hAnsi="Arial"/>
          <w:sz w:val="20"/>
          <w:szCs w:val="20"/>
        </w:rPr>
        <w:t>.</w:t>
      </w:r>
    </w:p>
    <w:p w14:paraId="5DE32AE5" w14:textId="77777777" w:rsidR="0099519C" w:rsidRPr="00383C62" w:rsidRDefault="0099519C" w:rsidP="00335314">
      <w:pPr>
        <w:pStyle w:val="NoSpacing"/>
        <w:ind w:left="1080"/>
        <w:rPr>
          <w:rFonts w:ascii="Arial" w:hAnsi="Arial"/>
          <w:sz w:val="20"/>
          <w:szCs w:val="20"/>
        </w:rPr>
      </w:pPr>
    </w:p>
    <w:p w14:paraId="6EF18E99" w14:textId="77777777" w:rsidR="00BC5112" w:rsidRDefault="00BC5112" w:rsidP="005A6C3D">
      <w:pPr>
        <w:pStyle w:val="NoSpacing"/>
        <w:ind w:left="360"/>
        <w:rPr>
          <w:rFonts w:ascii="Arial" w:hAnsi="Arial"/>
          <w:sz w:val="20"/>
          <w:szCs w:val="20"/>
        </w:rPr>
      </w:pPr>
    </w:p>
    <w:p w14:paraId="43F863A4" w14:textId="77777777" w:rsidR="005C25A8" w:rsidRDefault="005C25A8" w:rsidP="005C25A8">
      <w:pPr>
        <w:rPr>
          <w:rFonts w:ascii="Arial" w:hAnsi="Arial"/>
          <w:b/>
          <w:u w:val="single"/>
        </w:rPr>
      </w:pPr>
    </w:p>
    <w:p w14:paraId="2B135F53" w14:textId="77777777" w:rsidR="005C25A8" w:rsidRPr="008C5109" w:rsidRDefault="005C25A8" w:rsidP="005C25A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NEXT MEETING</w:t>
      </w:r>
      <w:r w:rsidR="005A6C3D">
        <w:rPr>
          <w:rFonts w:ascii="Arial" w:hAnsi="Arial"/>
          <w:b/>
          <w:u w:val="single"/>
        </w:rPr>
        <w:t>S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 xml:space="preserve"> 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213CB757" w14:textId="03B12BFA" w:rsidR="005C25A8" w:rsidRDefault="005C25A8" w:rsidP="005C25A8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782535">
        <w:rPr>
          <w:rFonts w:ascii="Arial" w:hAnsi="Arial"/>
          <w:sz w:val="20"/>
          <w:szCs w:val="20"/>
        </w:rPr>
        <w:t xml:space="preserve">Annual Retreat: February 5, 2018; </w:t>
      </w:r>
      <w:bookmarkStart w:id="0" w:name="_GoBack"/>
      <w:bookmarkEnd w:id="0"/>
      <w:r w:rsidR="00782535">
        <w:rPr>
          <w:rFonts w:ascii="Arial" w:hAnsi="Arial"/>
          <w:sz w:val="20"/>
          <w:szCs w:val="20"/>
        </w:rPr>
        <w:t>Board Mtg: March 26, 2018</w:t>
      </w:r>
    </w:p>
    <w:p w14:paraId="31524352" w14:textId="77777777" w:rsidR="005C25A8" w:rsidRDefault="005C25A8" w:rsidP="005C25A8">
      <w:pPr>
        <w:rPr>
          <w:rFonts w:ascii="Arial" w:hAnsi="Arial"/>
          <w:sz w:val="20"/>
          <w:szCs w:val="20"/>
        </w:rPr>
      </w:pPr>
      <w:r w:rsidRPr="004F0242">
        <w:rPr>
          <w:rFonts w:ascii="Arial" w:hAnsi="Arial"/>
          <w:b/>
          <w:sz w:val="20"/>
          <w:szCs w:val="20"/>
        </w:rPr>
        <w:t>Time: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</w:t>
      </w:r>
      <w:r w:rsidR="004A6150">
        <w:rPr>
          <w:rFonts w:ascii="Arial" w:hAnsi="Arial"/>
          <w:sz w:val="20"/>
          <w:szCs w:val="20"/>
        </w:rPr>
        <w:t>0:00a</w:t>
      </w:r>
      <w:r>
        <w:rPr>
          <w:rFonts w:ascii="Arial" w:hAnsi="Arial"/>
          <w:sz w:val="20"/>
          <w:szCs w:val="20"/>
        </w:rPr>
        <w:t>m</w:t>
      </w:r>
    </w:p>
    <w:p w14:paraId="3BED7BE7" w14:textId="77777777" w:rsidR="005C25A8" w:rsidRPr="00012937" w:rsidRDefault="005C25A8" w:rsidP="005C25A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Location: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Webinar/conference call</w:t>
      </w:r>
    </w:p>
    <w:p w14:paraId="20B721F7" w14:textId="77777777" w:rsidR="006F5870" w:rsidRPr="00066348" w:rsidRDefault="006F5870" w:rsidP="001A3B24">
      <w:pPr>
        <w:pStyle w:val="NoSpacing"/>
        <w:rPr>
          <w:rFonts w:ascii="Arial" w:hAnsi="Arial"/>
          <w:sz w:val="20"/>
          <w:szCs w:val="20"/>
        </w:rPr>
      </w:pPr>
    </w:p>
    <w:sectPr w:rsidR="006F5870" w:rsidRPr="00066348" w:rsidSect="00550C19">
      <w:footerReference w:type="default" r:id="rId8"/>
      <w:pgSz w:w="12240" w:h="15840"/>
      <w:pgMar w:top="1080" w:right="1440" w:bottom="25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6753" w14:textId="77777777" w:rsidR="007D6234" w:rsidRDefault="007D6234" w:rsidP="008801F5">
      <w:r>
        <w:separator/>
      </w:r>
    </w:p>
  </w:endnote>
  <w:endnote w:type="continuationSeparator" w:id="0">
    <w:p w14:paraId="24185594" w14:textId="77777777" w:rsidR="007D6234" w:rsidRDefault="007D6234" w:rsidP="008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1605" w14:textId="77777777" w:rsidR="00335314" w:rsidRDefault="00335314" w:rsidP="00901B67">
    <w:pPr>
      <w:pStyle w:val="Footer"/>
      <w:jc w:val="center"/>
      <w:rPr>
        <w:noProof/>
      </w:rPr>
    </w:pPr>
  </w:p>
  <w:p w14:paraId="66E75F15" w14:textId="77777777" w:rsidR="00335314" w:rsidRDefault="00335314" w:rsidP="00687B67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4E108B43" wp14:editId="6BBB692C">
          <wp:extent cx="538480" cy="910929"/>
          <wp:effectExtent l="0" t="0" r="0" b="3810"/>
          <wp:docPr id="4" name="Picture 4" descr="Macintosh HD:Users:twenty:Dropbox:HMIS &amp; BoSCoC Planning:Ohio BOSCOC:Ohio BoSCoC Branding Materials:sml-bosc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wenty:Dropbox:HMIS &amp; BoSCoC Planning:Ohio BOSCOC:Ohio BoSCoC Branding Materials:sml-bosc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910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9B58" w14:textId="77777777" w:rsidR="00335314" w:rsidRPr="00066348" w:rsidRDefault="00335314" w:rsidP="00901B67">
    <w:pPr>
      <w:pStyle w:val="Footer"/>
      <w:jc w:val="center"/>
      <w:rPr>
        <w:rFonts w:ascii="Arial" w:hAnsi="Arial"/>
        <w:sz w:val="20"/>
        <w:szCs w:val="20"/>
      </w:rPr>
    </w:pPr>
    <w:r w:rsidRPr="00066348">
      <w:rPr>
        <w:rStyle w:val="PageNumber"/>
        <w:rFonts w:ascii="Arial" w:hAnsi="Arial"/>
        <w:sz w:val="20"/>
        <w:szCs w:val="20"/>
      </w:rPr>
      <w:fldChar w:fldCharType="begin"/>
    </w:r>
    <w:r w:rsidRPr="00066348">
      <w:rPr>
        <w:rStyle w:val="PageNumber"/>
        <w:rFonts w:ascii="Arial" w:hAnsi="Arial"/>
        <w:sz w:val="20"/>
        <w:szCs w:val="20"/>
      </w:rPr>
      <w:instrText xml:space="preserve"> PAGE </w:instrText>
    </w:r>
    <w:r w:rsidRPr="00066348">
      <w:rPr>
        <w:rStyle w:val="PageNumber"/>
        <w:rFonts w:ascii="Arial" w:hAnsi="Arial"/>
        <w:sz w:val="20"/>
        <w:szCs w:val="20"/>
      </w:rPr>
      <w:fldChar w:fldCharType="separate"/>
    </w:r>
    <w:r w:rsidR="007D6234">
      <w:rPr>
        <w:rStyle w:val="PageNumber"/>
        <w:rFonts w:ascii="Arial" w:hAnsi="Arial"/>
        <w:noProof/>
        <w:sz w:val="20"/>
        <w:szCs w:val="20"/>
      </w:rPr>
      <w:t>1</w:t>
    </w:r>
    <w:r w:rsidRPr="00066348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EF41C" w14:textId="77777777" w:rsidR="007D6234" w:rsidRDefault="007D6234" w:rsidP="008801F5">
      <w:r>
        <w:separator/>
      </w:r>
    </w:p>
  </w:footnote>
  <w:footnote w:type="continuationSeparator" w:id="0">
    <w:p w14:paraId="549F0837" w14:textId="77777777" w:rsidR="007D6234" w:rsidRDefault="007D6234" w:rsidP="0088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A39A2"/>
    <w:multiLevelType w:val="hybridMultilevel"/>
    <w:tmpl w:val="CA92B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A7BEF"/>
    <w:multiLevelType w:val="hybridMultilevel"/>
    <w:tmpl w:val="8B42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A1707"/>
    <w:multiLevelType w:val="multilevel"/>
    <w:tmpl w:val="0409001D"/>
    <w:numStyleLink w:val="Style1"/>
  </w:abstractNum>
  <w:abstractNum w:abstractNumId="4">
    <w:nsid w:val="14FA79E1"/>
    <w:multiLevelType w:val="hybridMultilevel"/>
    <w:tmpl w:val="93D8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E1D41"/>
    <w:multiLevelType w:val="hybridMultilevel"/>
    <w:tmpl w:val="E5BE3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6F5EBD"/>
    <w:multiLevelType w:val="hybridMultilevel"/>
    <w:tmpl w:val="50100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B2040"/>
    <w:multiLevelType w:val="hybridMultilevel"/>
    <w:tmpl w:val="B814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83784"/>
    <w:multiLevelType w:val="hybridMultilevel"/>
    <w:tmpl w:val="12DE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52587"/>
    <w:multiLevelType w:val="hybridMultilevel"/>
    <w:tmpl w:val="58202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31F6C"/>
    <w:multiLevelType w:val="hybridMultilevel"/>
    <w:tmpl w:val="76A2B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CE5B75"/>
    <w:multiLevelType w:val="multilevel"/>
    <w:tmpl w:val="0409001D"/>
    <w:numStyleLink w:val="BAM1-alldots"/>
  </w:abstractNum>
  <w:abstractNum w:abstractNumId="12">
    <w:nsid w:val="2B7E390A"/>
    <w:multiLevelType w:val="hybridMultilevel"/>
    <w:tmpl w:val="4E928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0B1E14"/>
    <w:multiLevelType w:val="hybridMultilevel"/>
    <w:tmpl w:val="6B5C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071E9"/>
    <w:multiLevelType w:val="hybridMultilevel"/>
    <w:tmpl w:val="95E2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D12A9"/>
    <w:multiLevelType w:val="multilevel"/>
    <w:tmpl w:val="0409001D"/>
    <w:styleLink w:val="BAM1-alldo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78E5A07"/>
    <w:multiLevelType w:val="hybridMultilevel"/>
    <w:tmpl w:val="1C4A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BF36E6B"/>
    <w:multiLevelType w:val="hybridMultilevel"/>
    <w:tmpl w:val="9B00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607B6D"/>
    <w:multiLevelType w:val="multilevel"/>
    <w:tmpl w:val="0409001D"/>
    <w:numStyleLink w:val="BAM1-alldots"/>
  </w:abstractNum>
  <w:abstractNum w:abstractNumId="19">
    <w:nsid w:val="53814022"/>
    <w:multiLevelType w:val="hybridMultilevel"/>
    <w:tmpl w:val="C70CC9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CD2F13"/>
    <w:multiLevelType w:val="hybridMultilevel"/>
    <w:tmpl w:val="4628D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FC6744"/>
    <w:multiLevelType w:val="hybridMultilevel"/>
    <w:tmpl w:val="D14E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25CE3"/>
    <w:multiLevelType w:val="hybridMultilevel"/>
    <w:tmpl w:val="F5AC7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7D2EF1"/>
    <w:multiLevelType w:val="hybridMultilevel"/>
    <w:tmpl w:val="018C9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EE793B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9"/>
  </w:num>
  <w:num w:numId="5">
    <w:abstractNumId w:val="19"/>
  </w:num>
  <w:num w:numId="6">
    <w:abstractNumId w:val="24"/>
  </w:num>
  <w:num w:numId="7">
    <w:abstractNumId w:val="3"/>
  </w:num>
  <w:num w:numId="8">
    <w:abstractNumId w:val="13"/>
  </w:num>
  <w:num w:numId="9">
    <w:abstractNumId w:val="21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23"/>
  </w:num>
  <w:num w:numId="20">
    <w:abstractNumId w:val="12"/>
  </w:num>
  <w:num w:numId="21">
    <w:abstractNumId w:val="22"/>
  </w:num>
  <w:num w:numId="22">
    <w:abstractNumId w:val="20"/>
  </w:num>
  <w:num w:numId="23">
    <w:abstractNumId w:val="5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D9"/>
    <w:rsid w:val="00005F68"/>
    <w:rsid w:val="000071BC"/>
    <w:rsid w:val="00012F1C"/>
    <w:rsid w:val="0001357A"/>
    <w:rsid w:val="000138DF"/>
    <w:rsid w:val="00024E30"/>
    <w:rsid w:val="000319C0"/>
    <w:rsid w:val="00031CEF"/>
    <w:rsid w:val="000332EB"/>
    <w:rsid w:val="00035E0F"/>
    <w:rsid w:val="00042135"/>
    <w:rsid w:val="00044486"/>
    <w:rsid w:val="00044FCA"/>
    <w:rsid w:val="000602DE"/>
    <w:rsid w:val="00063A87"/>
    <w:rsid w:val="00065949"/>
    <w:rsid w:val="00066348"/>
    <w:rsid w:val="0006716F"/>
    <w:rsid w:val="0008287D"/>
    <w:rsid w:val="00084EBB"/>
    <w:rsid w:val="00086AA5"/>
    <w:rsid w:val="000B4A1A"/>
    <w:rsid w:val="000C1765"/>
    <w:rsid w:val="000C1FD4"/>
    <w:rsid w:val="000C6B39"/>
    <w:rsid w:val="000D0EAE"/>
    <w:rsid w:val="000E252B"/>
    <w:rsid w:val="000E49F3"/>
    <w:rsid w:val="000E4E8E"/>
    <w:rsid w:val="000F3C27"/>
    <w:rsid w:val="00103D6C"/>
    <w:rsid w:val="00104D6C"/>
    <w:rsid w:val="00113B71"/>
    <w:rsid w:val="00115672"/>
    <w:rsid w:val="00125CCD"/>
    <w:rsid w:val="00130F3E"/>
    <w:rsid w:val="00151C2A"/>
    <w:rsid w:val="00153140"/>
    <w:rsid w:val="001537F5"/>
    <w:rsid w:val="0015742E"/>
    <w:rsid w:val="00162816"/>
    <w:rsid w:val="00170044"/>
    <w:rsid w:val="00172996"/>
    <w:rsid w:val="00182EED"/>
    <w:rsid w:val="00193052"/>
    <w:rsid w:val="001A3B24"/>
    <w:rsid w:val="001D60CA"/>
    <w:rsid w:val="001D62F8"/>
    <w:rsid w:val="001D77E0"/>
    <w:rsid w:val="001D7EE2"/>
    <w:rsid w:val="001F1EF7"/>
    <w:rsid w:val="001F393C"/>
    <w:rsid w:val="00221E2D"/>
    <w:rsid w:val="00225733"/>
    <w:rsid w:val="002267D4"/>
    <w:rsid w:val="00253C54"/>
    <w:rsid w:val="00254EBD"/>
    <w:rsid w:val="00256C5A"/>
    <w:rsid w:val="00260F7F"/>
    <w:rsid w:val="00264FDC"/>
    <w:rsid w:val="00273114"/>
    <w:rsid w:val="00287D00"/>
    <w:rsid w:val="00287F52"/>
    <w:rsid w:val="00293726"/>
    <w:rsid w:val="002A2144"/>
    <w:rsid w:val="002B3BD6"/>
    <w:rsid w:val="002C093C"/>
    <w:rsid w:val="002C6257"/>
    <w:rsid w:val="002D1E67"/>
    <w:rsid w:val="002D4870"/>
    <w:rsid w:val="002E6818"/>
    <w:rsid w:val="002F52EA"/>
    <w:rsid w:val="00302F2A"/>
    <w:rsid w:val="00307936"/>
    <w:rsid w:val="00310D0A"/>
    <w:rsid w:val="003120C5"/>
    <w:rsid w:val="003133BA"/>
    <w:rsid w:val="0032506E"/>
    <w:rsid w:val="003349A9"/>
    <w:rsid w:val="00334DAF"/>
    <w:rsid w:val="00335314"/>
    <w:rsid w:val="00345AB2"/>
    <w:rsid w:val="00346C97"/>
    <w:rsid w:val="00360A13"/>
    <w:rsid w:val="00360A67"/>
    <w:rsid w:val="003655CF"/>
    <w:rsid w:val="00366FAC"/>
    <w:rsid w:val="0036725D"/>
    <w:rsid w:val="00367324"/>
    <w:rsid w:val="00370E6F"/>
    <w:rsid w:val="003975B8"/>
    <w:rsid w:val="003A1615"/>
    <w:rsid w:val="003A1F5D"/>
    <w:rsid w:val="003A23BF"/>
    <w:rsid w:val="003A2C84"/>
    <w:rsid w:val="003D2583"/>
    <w:rsid w:val="003D3478"/>
    <w:rsid w:val="003D4187"/>
    <w:rsid w:val="003D5FD3"/>
    <w:rsid w:val="003E4FF4"/>
    <w:rsid w:val="003E5BEB"/>
    <w:rsid w:val="003F5D63"/>
    <w:rsid w:val="00400171"/>
    <w:rsid w:val="00401086"/>
    <w:rsid w:val="00406DF1"/>
    <w:rsid w:val="00410454"/>
    <w:rsid w:val="0041476E"/>
    <w:rsid w:val="00426D10"/>
    <w:rsid w:val="00436684"/>
    <w:rsid w:val="00441480"/>
    <w:rsid w:val="004422D5"/>
    <w:rsid w:val="004529F9"/>
    <w:rsid w:val="00463FD4"/>
    <w:rsid w:val="0047556F"/>
    <w:rsid w:val="00475F33"/>
    <w:rsid w:val="004760F6"/>
    <w:rsid w:val="00477415"/>
    <w:rsid w:val="004A4C42"/>
    <w:rsid w:val="004A6150"/>
    <w:rsid w:val="004B44B0"/>
    <w:rsid w:val="004B67D8"/>
    <w:rsid w:val="004B6ADC"/>
    <w:rsid w:val="004C6457"/>
    <w:rsid w:val="004D43C2"/>
    <w:rsid w:val="004D48B2"/>
    <w:rsid w:val="004E0CF9"/>
    <w:rsid w:val="004E34BB"/>
    <w:rsid w:val="004E4453"/>
    <w:rsid w:val="004F029D"/>
    <w:rsid w:val="00502B37"/>
    <w:rsid w:val="0054445C"/>
    <w:rsid w:val="005447CD"/>
    <w:rsid w:val="00550C19"/>
    <w:rsid w:val="00554B68"/>
    <w:rsid w:val="005565CF"/>
    <w:rsid w:val="00562A86"/>
    <w:rsid w:val="00571B7B"/>
    <w:rsid w:val="00573A17"/>
    <w:rsid w:val="00577742"/>
    <w:rsid w:val="00581015"/>
    <w:rsid w:val="00597D48"/>
    <w:rsid w:val="005A00E2"/>
    <w:rsid w:val="005A1A46"/>
    <w:rsid w:val="005A6C3D"/>
    <w:rsid w:val="005C25A8"/>
    <w:rsid w:val="005C40A1"/>
    <w:rsid w:val="005C5321"/>
    <w:rsid w:val="005C70C7"/>
    <w:rsid w:val="005C7B87"/>
    <w:rsid w:val="005D28EB"/>
    <w:rsid w:val="005E442B"/>
    <w:rsid w:val="005E49CA"/>
    <w:rsid w:val="005E5116"/>
    <w:rsid w:val="005E5406"/>
    <w:rsid w:val="005E6174"/>
    <w:rsid w:val="00604B7C"/>
    <w:rsid w:val="006330BA"/>
    <w:rsid w:val="00640E75"/>
    <w:rsid w:val="006569ED"/>
    <w:rsid w:val="00663405"/>
    <w:rsid w:val="00665063"/>
    <w:rsid w:val="006659FD"/>
    <w:rsid w:val="00682133"/>
    <w:rsid w:val="00687B67"/>
    <w:rsid w:val="00691C31"/>
    <w:rsid w:val="00696418"/>
    <w:rsid w:val="006A0044"/>
    <w:rsid w:val="006A2871"/>
    <w:rsid w:val="006A4FA0"/>
    <w:rsid w:val="006B1765"/>
    <w:rsid w:val="006B78B9"/>
    <w:rsid w:val="006D12C9"/>
    <w:rsid w:val="006D7272"/>
    <w:rsid w:val="006D74FB"/>
    <w:rsid w:val="006E0A50"/>
    <w:rsid w:val="006E5AB8"/>
    <w:rsid w:val="006E6C73"/>
    <w:rsid w:val="006F5870"/>
    <w:rsid w:val="006F68BC"/>
    <w:rsid w:val="00703272"/>
    <w:rsid w:val="00703ECB"/>
    <w:rsid w:val="00715602"/>
    <w:rsid w:val="00720FEA"/>
    <w:rsid w:val="0072241B"/>
    <w:rsid w:val="0073409D"/>
    <w:rsid w:val="0073764C"/>
    <w:rsid w:val="00747432"/>
    <w:rsid w:val="007609B1"/>
    <w:rsid w:val="0077144B"/>
    <w:rsid w:val="00774C3F"/>
    <w:rsid w:val="00775F2C"/>
    <w:rsid w:val="0078207C"/>
    <w:rsid w:val="00782535"/>
    <w:rsid w:val="0078795A"/>
    <w:rsid w:val="007B41A1"/>
    <w:rsid w:val="007C22EA"/>
    <w:rsid w:val="007D6234"/>
    <w:rsid w:val="007F43FB"/>
    <w:rsid w:val="008041CC"/>
    <w:rsid w:val="0080739E"/>
    <w:rsid w:val="00807BDD"/>
    <w:rsid w:val="00812F4A"/>
    <w:rsid w:val="0081332E"/>
    <w:rsid w:val="008238F0"/>
    <w:rsid w:val="0086324E"/>
    <w:rsid w:val="008639DD"/>
    <w:rsid w:val="00867325"/>
    <w:rsid w:val="008752A4"/>
    <w:rsid w:val="008801F5"/>
    <w:rsid w:val="00881DD1"/>
    <w:rsid w:val="00883E57"/>
    <w:rsid w:val="00892DB3"/>
    <w:rsid w:val="008A3F26"/>
    <w:rsid w:val="008B2886"/>
    <w:rsid w:val="008B2C75"/>
    <w:rsid w:val="008B440E"/>
    <w:rsid w:val="008B57AC"/>
    <w:rsid w:val="008C1335"/>
    <w:rsid w:val="008C21C3"/>
    <w:rsid w:val="008C34EB"/>
    <w:rsid w:val="008D4D5F"/>
    <w:rsid w:val="008D65E3"/>
    <w:rsid w:val="008F0F31"/>
    <w:rsid w:val="008F5527"/>
    <w:rsid w:val="00901B67"/>
    <w:rsid w:val="00907A43"/>
    <w:rsid w:val="00915653"/>
    <w:rsid w:val="00917E15"/>
    <w:rsid w:val="00942CB7"/>
    <w:rsid w:val="00943EB1"/>
    <w:rsid w:val="00946997"/>
    <w:rsid w:val="00966190"/>
    <w:rsid w:val="009719AB"/>
    <w:rsid w:val="00972599"/>
    <w:rsid w:val="009729B6"/>
    <w:rsid w:val="00972EFD"/>
    <w:rsid w:val="0097783D"/>
    <w:rsid w:val="009817AF"/>
    <w:rsid w:val="009842D5"/>
    <w:rsid w:val="00986ABA"/>
    <w:rsid w:val="0099519C"/>
    <w:rsid w:val="009A14A2"/>
    <w:rsid w:val="009A4DD0"/>
    <w:rsid w:val="009B33A9"/>
    <w:rsid w:val="009C5BA8"/>
    <w:rsid w:val="009E1845"/>
    <w:rsid w:val="009E486D"/>
    <w:rsid w:val="009F5C85"/>
    <w:rsid w:val="00A007CB"/>
    <w:rsid w:val="00A1040B"/>
    <w:rsid w:val="00A114DF"/>
    <w:rsid w:val="00A134D9"/>
    <w:rsid w:val="00A20EBE"/>
    <w:rsid w:val="00A23885"/>
    <w:rsid w:val="00A3149E"/>
    <w:rsid w:val="00A31BAC"/>
    <w:rsid w:val="00A44F6F"/>
    <w:rsid w:val="00A47160"/>
    <w:rsid w:val="00A53FF2"/>
    <w:rsid w:val="00A56A5D"/>
    <w:rsid w:val="00A57DE4"/>
    <w:rsid w:val="00A80B73"/>
    <w:rsid w:val="00A85E5A"/>
    <w:rsid w:val="00A92300"/>
    <w:rsid w:val="00A935B5"/>
    <w:rsid w:val="00A96C1D"/>
    <w:rsid w:val="00AA2FD7"/>
    <w:rsid w:val="00AA7E76"/>
    <w:rsid w:val="00AC062A"/>
    <w:rsid w:val="00AC0B80"/>
    <w:rsid w:val="00AD3422"/>
    <w:rsid w:val="00AF3021"/>
    <w:rsid w:val="00AF4914"/>
    <w:rsid w:val="00AF79FE"/>
    <w:rsid w:val="00B252BB"/>
    <w:rsid w:val="00B2652B"/>
    <w:rsid w:val="00B32657"/>
    <w:rsid w:val="00B419F9"/>
    <w:rsid w:val="00B462E6"/>
    <w:rsid w:val="00B47662"/>
    <w:rsid w:val="00B5243B"/>
    <w:rsid w:val="00B526F1"/>
    <w:rsid w:val="00B71A32"/>
    <w:rsid w:val="00B73EB6"/>
    <w:rsid w:val="00B768F8"/>
    <w:rsid w:val="00B7739D"/>
    <w:rsid w:val="00B85546"/>
    <w:rsid w:val="00B86F70"/>
    <w:rsid w:val="00B911D7"/>
    <w:rsid w:val="00B94155"/>
    <w:rsid w:val="00B977E2"/>
    <w:rsid w:val="00BA2C99"/>
    <w:rsid w:val="00BA3AEB"/>
    <w:rsid w:val="00BA4DCD"/>
    <w:rsid w:val="00BC5112"/>
    <w:rsid w:val="00BC6EB3"/>
    <w:rsid w:val="00BD4500"/>
    <w:rsid w:val="00BF5660"/>
    <w:rsid w:val="00C16EC0"/>
    <w:rsid w:val="00C2001C"/>
    <w:rsid w:val="00C2584C"/>
    <w:rsid w:val="00C26205"/>
    <w:rsid w:val="00C32A8E"/>
    <w:rsid w:val="00C347E8"/>
    <w:rsid w:val="00C37D78"/>
    <w:rsid w:val="00C473D9"/>
    <w:rsid w:val="00C57E43"/>
    <w:rsid w:val="00C6056E"/>
    <w:rsid w:val="00C67733"/>
    <w:rsid w:val="00C67884"/>
    <w:rsid w:val="00C762E6"/>
    <w:rsid w:val="00C77A14"/>
    <w:rsid w:val="00CA0005"/>
    <w:rsid w:val="00CA714C"/>
    <w:rsid w:val="00CB15B1"/>
    <w:rsid w:val="00CB3695"/>
    <w:rsid w:val="00CD34FF"/>
    <w:rsid w:val="00CE3DDC"/>
    <w:rsid w:val="00CE5E46"/>
    <w:rsid w:val="00CE7290"/>
    <w:rsid w:val="00D0295F"/>
    <w:rsid w:val="00D0662F"/>
    <w:rsid w:val="00D1299E"/>
    <w:rsid w:val="00D13D7E"/>
    <w:rsid w:val="00D1491B"/>
    <w:rsid w:val="00D32AF7"/>
    <w:rsid w:val="00D32FC7"/>
    <w:rsid w:val="00D3571E"/>
    <w:rsid w:val="00D36CFF"/>
    <w:rsid w:val="00D40567"/>
    <w:rsid w:val="00D52465"/>
    <w:rsid w:val="00D55112"/>
    <w:rsid w:val="00D92288"/>
    <w:rsid w:val="00D93795"/>
    <w:rsid w:val="00DB7FE1"/>
    <w:rsid w:val="00DC4362"/>
    <w:rsid w:val="00DD1C1B"/>
    <w:rsid w:val="00DD1CD8"/>
    <w:rsid w:val="00DD647F"/>
    <w:rsid w:val="00DE3041"/>
    <w:rsid w:val="00DF412C"/>
    <w:rsid w:val="00DF4CDC"/>
    <w:rsid w:val="00E01416"/>
    <w:rsid w:val="00E07D5C"/>
    <w:rsid w:val="00E11A21"/>
    <w:rsid w:val="00E25442"/>
    <w:rsid w:val="00E25B09"/>
    <w:rsid w:val="00E37268"/>
    <w:rsid w:val="00E37E8A"/>
    <w:rsid w:val="00E412F6"/>
    <w:rsid w:val="00E45D8A"/>
    <w:rsid w:val="00E53D53"/>
    <w:rsid w:val="00E60F39"/>
    <w:rsid w:val="00E6336E"/>
    <w:rsid w:val="00E731B3"/>
    <w:rsid w:val="00E81D56"/>
    <w:rsid w:val="00E87B8F"/>
    <w:rsid w:val="00EB2758"/>
    <w:rsid w:val="00EB3D7A"/>
    <w:rsid w:val="00EB539C"/>
    <w:rsid w:val="00EC131F"/>
    <w:rsid w:val="00ED3207"/>
    <w:rsid w:val="00EE44B0"/>
    <w:rsid w:val="00EF1424"/>
    <w:rsid w:val="00EF163C"/>
    <w:rsid w:val="00F02FD9"/>
    <w:rsid w:val="00F0713B"/>
    <w:rsid w:val="00F16A45"/>
    <w:rsid w:val="00F255C1"/>
    <w:rsid w:val="00F41EBA"/>
    <w:rsid w:val="00F47BD9"/>
    <w:rsid w:val="00F5415B"/>
    <w:rsid w:val="00F54B1A"/>
    <w:rsid w:val="00F61FD9"/>
    <w:rsid w:val="00F6299F"/>
    <w:rsid w:val="00F679A2"/>
    <w:rsid w:val="00F90277"/>
    <w:rsid w:val="00F90989"/>
    <w:rsid w:val="00FA2FBB"/>
    <w:rsid w:val="00FC1AA0"/>
    <w:rsid w:val="00FC5270"/>
    <w:rsid w:val="00FC5C28"/>
    <w:rsid w:val="00FC7804"/>
    <w:rsid w:val="00FC7C92"/>
    <w:rsid w:val="00FD1F0D"/>
    <w:rsid w:val="00FD4F39"/>
    <w:rsid w:val="00FD5810"/>
    <w:rsid w:val="00FE11B0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17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B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CF9"/>
  </w:style>
  <w:style w:type="numbering" w:customStyle="1" w:styleId="BAM1-alldots">
    <w:name w:val="BAM 1- all dots"/>
    <w:uiPriority w:val="99"/>
    <w:rsid w:val="00A9230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A3B24"/>
    <w:pPr>
      <w:ind w:left="720"/>
      <w:contextualSpacing/>
    </w:pPr>
  </w:style>
  <w:style w:type="numbering" w:customStyle="1" w:styleId="Style1">
    <w:name w:val="Style1"/>
    <w:uiPriority w:val="99"/>
    <w:rsid w:val="001A3B24"/>
    <w:pPr>
      <w:numPr>
        <w:numId w:val="6"/>
      </w:numPr>
    </w:pPr>
  </w:style>
  <w:style w:type="paragraph" w:styleId="NormalWeb">
    <w:name w:val="Normal (Web)"/>
    <w:basedOn w:val="Normal"/>
    <w:rsid w:val="005C5321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uiPriority w:val="59"/>
    <w:rsid w:val="005C53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F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F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8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wenty/Documents/BoSCoC/CoC%20Board/TEMPLATE-%20CoC%20Board%20Meeting%20Minutes%20000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D1528-4704-964A-A2C2-88BC7DC8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 CoC Board Meeting Minutes 000017.dotx</Template>
  <TotalTime>135</TotalTime>
  <Pages>3</Pages>
  <Words>831</Words>
  <Characters>4741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COHHIO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cp:lastPrinted>2017-05-03T15:59:00Z</cp:lastPrinted>
  <dcterms:created xsi:type="dcterms:W3CDTF">2018-01-22T14:02:00Z</dcterms:created>
  <dcterms:modified xsi:type="dcterms:W3CDTF">2018-01-22T17:48:00Z</dcterms:modified>
</cp:coreProperties>
</file>