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128F" w14:textId="77777777" w:rsidR="005C25A8" w:rsidRPr="00CD142E" w:rsidRDefault="005C25A8" w:rsidP="005C25A8">
      <w:pPr>
        <w:jc w:val="center"/>
        <w:rPr>
          <w:rFonts w:ascii="Arial" w:hAnsi="Arial"/>
          <w:b/>
        </w:rPr>
      </w:pPr>
      <w:r>
        <w:rPr>
          <w:rFonts w:ascii="Arial" w:hAnsi="Arial"/>
          <w:b/>
        </w:rPr>
        <w:t>OHIO BALANCE OF STATE CONTINUUM OF CARE</w:t>
      </w:r>
    </w:p>
    <w:p w14:paraId="2063D2C4" w14:textId="51803654" w:rsidR="005C25A8" w:rsidRPr="00CD142E" w:rsidRDefault="005C25A8" w:rsidP="005C25A8">
      <w:pPr>
        <w:jc w:val="center"/>
        <w:rPr>
          <w:rFonts w:ascii="Arial" w:hAnsi="Arial"/>
          <w:b/>
        </w:rPr>
      </w:pPr>
      <w:r>
        <w:rPr>
          <w:rFonts w:ascii="Arial" w:hAnsi="Arial"/>
          <w:b/>
        </w:rPr>
        <w:t>C</w:t>
      </w:r>
      <w:r w:rsidR="004A6150">
        <w:rPr>
          <w:rFonts w:ascii="Arial" w:hAnsi="Arial"/>
          <w:b/>
        </w:rPr>
        <w:t>oC Board</w:t>
      </w:r>
      <w:r w:rsidRPr="00CD142E">
        <w:rPr>
          <w:rFonts w:ascii="Arial" w:hAnsi="Arial"/>
          <w:b/>
        </w:rPr>
        <w:t xml:space="preserve"> Meeting</w:t>
      </w:r>
    </w:p>
    <w:p w14:paraId="30996260" w14:textId="77777777" w:rsidR="005C25A8" w:rsidRDefault="005C25A8" w:rsidP="005C25A8">
      <w:pPr>
        <w:jc w:val="center"/>
        <w:rPr>
          <w:rFonts w:ascii="Arial" w:hAnsi="Arial"/>
          <w:b/>
        </w:rPr>
      </w:pPr>
    </w:p>
    <w:p w14:paraId="075FC70F" w14:textId="77777777" w:rsidR="005C25A8" w:rsidRPr="00CD142E" w:rsidRDefault="005C25A8" w:rsidP="005C25A8">
      <w:pPr>
        <w:jc w:val="center"/>
        <w:rPr>
          <w:rFonts w:ascii="Arial" w:hAnsi="Arial"/>
          <w:b/>
        </w:rPr>
      </w:pPr>
    </w:p>
    <w:p w14:paraId="00643730" w14:textId="77777777" w:rsidR="005C25A8" w:rsidRPr="00BF439E" w:rsidRDefault="005C25A8" w:rsidP="005C25A8">
      <w:pPr>
        <w:rPr>
          <w:rFonts w:ascii="Arial" w:hAnsi="Arial"/>
          <w:b/>
          <w:u w:val="single"/>
        </w:rPr>
      </w:pPr>
      <w:r>
        <w:rPr>
          <w:rFonts w:ascii="Arial" w:hAnsi="Arial"/>
          <w:b/>
          <w:u w:val="single"/>
        </w:rPr>
        <w:t>MEETING 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FA5CA69" w14:textId="77777777" w:rsidR="005C25A8" w:rsidRDefault="005C25A8" w:rsidP="005C25A8">
      <w:pPr>
        <w:rPr>
          <w:rFonts w:ascii="Arial" w:hAnsi="Arial"/>
          <w:b/>
          <w:sz w:val="20"/>
          <w:szCs w:val="20"/>
        </w:rPr>
      </w:pPr>
    </w:p>
    <w:p w14:paraId="3652EACC" w14:textId="305AF0BB" w:rsidR="005C25A8" w:rsidRPr="00ED4CF2"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4A6150">
        <w:rPr>
          <w:rFonts w:ascii="Arial" w:hAnsi="Arial"/>
          <w:sz w:val="20"/>
          <w:szCs w:val="20"/>
        </w:rPr>
        <w:t>Mon</w:t>
      </w:r>
      <w:r w:rsidR="0008287D">
        <w:rPr>
          <w:rFonts w:ascii="Arial" w:hAnsi="Arial"/>
          <w:sz w:val="20"/>
          <w:szCs w:val="20"/>
        </w:rPr>
        <w:t>day, August 21</w:t>
      </w:r>
      <w:r>
        <w:rPr>
          <w:rFonts w:ascii="Arial" w:hAnsi="Arial"/>
          <w:sz w:val="20"/>
          <w:szCs w:val="20"/>
        </w:rPr>
        <w:t>, 2017</w:t>
      </w:r>
    </w:p>
    <w:p w14:paraId="2606755E" w14:textId="3C3FE9C8" w:rsidR="005C25A8" w:rsidRPr="00ED4CF2" w:rsidRDefault="005C25A8" w:rsidP="005C25A8">
      <w:pPr>
        <w:rPr>
          <w:rFonts w:ascii="Arial" w:hAnsi="Arial"/>
          <w:sz w:val="20"/>
          <w:szCs w:val="20"/>
        </w:rPr>
      </w:pPr>
      <w:r w:rsidRPr="008C5109">
        <w:rPr>
          <w:rFonts w:ascii="Arial" w:hAnsi="Arial"/>
          <w:b/>
          <w:sz w:val="20"/>
          <w:szCs w:val="20"/>
        </w:rPr>
        <w:t>Time</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sz w:val="20"/>
          <w:szCs w:val="20"/>
        </w:rPr>
        <w:t>1</w:t>
      </w:r>
      <w:r w:rsidR="004A6150">
        <w:rPr>
          <w:rFonts w:ascii="Arial" w:hAnsi="Arial"/>
          <w:sz w:val="20"/>
          <w:szCs w:val="20"/>
        </w:rPr>
        <w:t>0:00a</w:t>
      </w:r>
      <w:r>
        <w:rPr>
          <w:rFonts w:ascii="Arial" w:hAnsi="Arial"/>
          <w:sz w:val="20"/>
          <w:szCs w:val="20"/>
        </w:rPr>
        <w:t>m</w:t>
      </w:r>
    </w:p>
    <w:p w14:paraId="60D16825" w14:textId="77777777" w:rsidR="005C25A8" w:rsidRDefault="005C25A8" w:rsidP="005C25A8">
      <w:pPr>
        <w:rPr>
          <w:rFonts w:ascii="Arial" w:hAnsi="Arial"/>
          <w:sz w:val="20"/>
          <w:szCs w:val="20"/>
        </w:rPr>
      </w:pPr>
      <w:r>
        <w:rPr>
          <w:rFonts w:ascii="Arial" w:hAnsi="Arial"/>
          <w:b/>
          <w:sz w:val="20"/>
          <w:szCs w:val="20"/>
        </w:rPr>
        <w:t>Location:</w:t>
      </w:r>
      <w:r>
        <w:rPr>
          <w:rFonts w:ascii="Arial" w:hAnsi="Arial"/>
          <w:b/>
          <w:sz w:val="20"/>
          <w:szCs w:val="20"/>
        </w:rPr>
        <w:tab/>
      </w:r>
      <w:r w:rsidRPr="00ED4CF2">
        <w:rPr>
          <w:rFonts w:ascii="Arial" w:hAnsi="Arial"/>
          <w:sz w:val="20"/>
          <w:szCs w:val="20"/>
        </w:rPr>
        <w:t>Webinar</w:t>
      </w:r>
      <w:r>
        <w:rPr>
          <w:rFonts w:ascii="Arial" w:hAnsi="Arial"/>
          <w:sz w:val="20"/>
          <w:szCs w:val="20"/>
        </w:rPr>
        <w:t xml:space="preserve"> and conference call </w:t>
      </w:r>
    </w:p>
    <w:p w14:paraId="5C953AD7" w14:textId="7AF86150" w:rsidR="005C25A8" w:rsidRDefault="005C25A8" w:rsidP="005C25A8">
      <w:pPr>
        <w:ind w:left="1440" w:hanging="1440"/>
        <w:rPr>
          <w:rFonts w:ascii="Arial" w:hAnsi="Arial"/>
          <w:b/>
          <w:sz w:val="20"/>
          <w:szCs w:val="20"/>
        </w:rPr>
      </w:pPr>
      <w:r>
        <w:rPr>
          <w:rFonts w:ascii="Arial" w:hAnsi="Arial"/>
          <w:b/>
          <w:sz w:val="20"/>
          <w:szCs w:val="20"/>
        </w:rPr>
        <w:t>Attendees:</w:t>
      </w:r>
      <w:r>
        <w:rPr>
          <w:rFonts w:ascii="Arial" w:hAnsi="Arial"/>
          <w:b/>
          <w:sz w:val="20"/>
          <w:szCs w:val="20"/>
        </w:rPr>
        <w:tab/>
      </w:r>
    </w:p>
    <w:p w14:paraId="4B5C1D45" w14:textId="77777777" w:rsidR="005A1A46" w:rsidRPr="00A44F6F" w:rsidRDefault="005A1A46" w:rsidP="005C25A8">
      <w:pPr>
        <w:ind w:left="1440" w:hanging="1440"/>
        <w:rPr>
          <w:rFonts w:ascii="Arial" w:hAnsi="Arial"/>
          <w:b/>
          <w:sz w:val="16"/>
          <w:szCs w:val="16"/>
        </w:rPr>
      </w:pPr>
    </w:p>
    <w:tbl>
      <w:tblPr>
        <w:tblStyle w:val="TableGrid"/>
        <w:tblW w:w="0" w:type="auto"/>
        <w:tblLook w:val="04A0" w:firstRow="1" w:lastRow="0" w:firstColumn="1" w:lastColumn="0" w:noHBand="0" w:noVBand="1"/>
      </w:tblPr>
      <w:tblGrid>
        <w:gridCol w:w="1282"/>
        <w:gridCol w:w="1662"/>
        <w:gridCol w:w="1574"/>
        <w:gridCol w:w="1752"/>
        <w:gridCol w:w="1414"/>
        <w:gridCol w:w="1892"/>
      </w:tblGrid>
      <w:tr w:rsidR="005A1A46" w:rsidRPr="003B1F98" w14:paraId="68359DAD" w14:textId="77777777" w:rsidTr="006E6C73">
        <w:tc>
          <w:tcPr>
            <w:tcW w:w="1282" w:type="dxa"/>
          </w:tcPr>
          <w:p w14:paraId="3471DFB4" w14:textId="77777777" w:rsidR="005A1A46" w:rsidRPr="00465734" w:rsidRDefault="005A1A46" w:rsidP="006E6C73">
            <w:pPr>
              <w:tabs>
                <w:tab w:val="left" w:pos="5712"/>
              </w:tabs>
              <w:rPr>
                <w:rFonts w:ascii="Arial" w:hAnsi="Arial" w:cs="Arial"/>
                <w:b/>
              </w:rPr>
            </w:pPr>
            <w:r w:rsidRPr="00465734">
              <w:rPr>
                <w:rFonts w:ascii="Arial" w:hAnsi="Arial" w:cs="Arial"/>
                <w:b/>
              </w:rPr>
              <w:t>Region 1</w:t>
            </w:r>
          </w:p>
        </w:tc>
        <w:tc>
          <w:tcPr>
            <w:tcW w:w="1662" w:type="dxa"/>
          </w:tcPr>
          <w:p w14:paraId="0F9FC885" w14:textId="5D755DAC" w:rsidR="005A1A46" w:rsidRPr="003349A9" w:rsidRDefault="00C90A6D" w:rsidP="006E6C73">
            <w:pPr>
              <w:tabs>
                <w:tab w:val="left" w:pos="5712"/>
              </w:tabs>
              <w:rPr>
                <w:rFonts w:ascii="Arial" w:hAnsi="Arial" w:cs="Arial"/>
              </w:rPr>
            </w:pPr>
            <w:r>
              <w:rPr>
                <w:rFonts w:ascii="Arial" w:hAnsi="Arial" w:cs="Lucida Grande"/>
                <w:color w:val="000000"/>
              </w:rPr>
              <w:t>absent</w:t>
            </w:r>
          </w:p>
        </w:tc>
        <w:tc>
          <w:tcPr>
            <w:tcW w:w="1574" w:type="dxa"/>
          </w:tcPr>
          <w:p w14:paraId="7FDC5EC5" w14:textId="77777777" w:rsidR="005A1A46" w:rsidRPr="00465734" w:rsidRDefault="005A1A46" w:rsidP="006E6C73">
            <w:pPr>
              <w:tabs>
                <w:tab w:val="left" w:pos="5712"/>
              </w:tabs>
              <w:rPr>
                <w:rFonts w:ascii="Arial" w:hAnsi="Arial" w:cs="Arial"/>
                <w:b/>
              </w:rPr>
            </w:pPr>
            <w:r w:rsidRPr="00465734">
              <w:rPr>
                <w:rFonts w:ascii="Arial" w:hAnsi="Arial" w:cs="Arial"/>
                <w:b/>
              </w:rPr>
              <w:t>Region 7</w:t>
            </w:r>
          </w:p>
        </w:tc>
        <w:tc>
          <w:tcPr>
            <w:tcW w:w="1752" w:type="dxa"/>
          </w:tcPr>
          <w:p w14:paraId="442C9E35" w14:textId="5027F129" w:rsidR="005A1A46" w:rsidRPr="00465734" w:rsidRDefault="00975A1B" w:rsidP="006E6C73">
            <w:pPr>
              <w:tabs>
                <w:tab w:val="left" w:pos="5712"/>
              </w:tabs>
              <w:rPr>
                <w:rFonts w:ascii="Arial" w:hAnsi="Arial" w:cs="Arial"/>
              </w:rPr>
            </w:pPr>
            <w:r>
              <w:rPr>
                <w:rFonts w:ascii="Arial" w:hAnsi="Arial" w:cs="Lucida Grande"/>
                <w:color w:val="000000"/>
              </w:rPr>
              <w:t>absent</w:t>
            </w:r>
          </w:p>
        </w:tc>
        <w:tc>
          <w:tcPr>
            <w:tcW w:w="1414" w:type="dxa"/>
          </w:tcPr>
          <w:p w14:paraId="7EBE2DCB" w14:textId="77777777" w:rsidR="005A1A46" w:rsidRPr="007931C6" w:rsidRDefault="005A1A46" w:rsidP="006E6C73">
            <w:pPr>
              <w:tabs>
                <w:tab w:val="left" w:pos="5712"/>
              </w:tabs>
              <w:rPr>
                <w:rFonts w:ascii="Arial" w:hAnsi="Arial" w:cs="Arial"/>
                <w:b/>
              </w:rPr>
            </w:pPr>
            <w:r w:rsidRPr="007931C6">
              <w:rPr>
                <w:rFonts w:ascii="Arial" w:hAnsi="Arial" w:cs="Arial"/>
                <w:b/>
              </w:rPr>
              <w:t>Region 13</w:t>
            </w:r>
          </w:p>
        </w:tc>
        <w:tc>
          <w:tcPr>
            <w:tcW w:w="1892" w:type="dxa"/>
          </w:tcPr>
          <w:p w14:paraId="60EFBD14" w14:textId="771CEFB8" w:rsidR="005A1A46" w:rsidRPr="007931C6" w:rsidRDefault="00975A1B" w:rsidP="006E6C73">
            <w:pPr>
              <w:tabs>
                <w:tab w:val="left" w:pos="5712"/>
              </w:tabs>
              <w:rPr>
                <w:rFonts w:ascii="Arial" w:hAnsi="Arial" w:cs="Arial"/>
              </w:rPr>
            </w:pPr>
            <w:r>
              <w:rPr>
                <w:rFonts w:ascii="Arial" w:hAnsi="Arial" w:cs="Lucida Grande"/>
                <w:color w:val="000000"/>
              </w:rPr>
              <w:t>absent</w:t>
            </w:r>
          </w:p>
        </w:tc>
      </w:tr>
      <w:tr w:rsidR="005A1A46" w:rsidRPr="003B1F98" w14:paraId="372399D8" w14:textId="77777777" w:rsidTr="006E6C73">
        <w:tc>
          <w:tcPr>
            <w:tcW w:w="1282" w:type="dxa"/>
          </w:tcPr>
          <w:p w14:paraId="6BEEE7E3" w14:textId="77777777" w:rsidR="005A1A46" w:rsidRPr="00465734" w:rsidRDefault="005A1A46" w:rsidP="006E6C73">
            <w:pPr>
              <w:tabs>
                <w:tab w:val="left" w:pos="5712"/>
              </w:tabs>
              <w:rPr>
                <w:rFonts w:ascii="Arial" w:hAnsi="Arial" w:cs="Arial"/>
                <w:b/>
              </w:rPr>
            </w:pPr>
            <w:r w:rsidRPr="00465734">
              <w:rPr>
                <w:rFonts w:ascii="Arial" w:hAnsi="Arial" w:cs="Arial"/>
                <w:b/>
              </w:rPr>
              <w:t>Region 2</w:t>
            </w:r>
          </w:p>
        </w:tc>
        <w:tc>
          <w:tcPr>
            <w:tcW w:w="1662" w:type="dxa"/>
          </w:tcPr>
          <w:p w14:paraId="4742DAD6" w14:textId="77777777" w:rsidR="005A1A46" w:rsidRPr="00465734" w:rsidRDefault="005A1A46" w:rsidP="006E6C73">
            <w:pPr>
              <w:tabs>
                <w:tab w:val="left" w:pos="5712"/>
              </w:tabs>
              <w:rPr>
                <w:rFonts w:ascii="Arial" w:hAnsi="Arial" w:cs="Arial"/>
              </w:rPr>
            </w:pPr>
            <w:r w:rsidRPr="00465734">
              <w:rPr>
                <w:rFonts w:ascii="Arial" w:hAnsi="Arial" w:cs="Arial"/>
              </w:rPr>
              <w:t>Ragan Claypool</w:t>
            </w:r>
          </w:p>
        </w:tc>
        <w:tc>
          <w:tcPr>
            <w:tcW w:w="1574" w:type="dxa"/>
          </w:tcPr>
          <w:p w14:paraId="6AD228D1" w14:textId="77777777" w:rsidR="005A1A46" w:rsidRPr="00465734" w:rsidRDefault="005A1A46" w:rsidP="006E6C73">
            <w:pPr>
              <w:tabs>
                <w:tab w:val="left" w:pos="5712"/>
              </w:tabs>
              <w:rPr>
                <w:rFonts w:ascii="Arial" w:hAnsi="Arial" w:cs="Arial"/>
                <w:b/>
              </w:rPr>
            </w:pPr>
            <w:r w:rsidRPr="00465734">
              <w:rPr>
                <w:rFonts w:ascii="Arial" w:hAnsi="Arial" w:cs="Arial"/>
                <w:b/>
              </w:rPr>
              <w:t>Region 8</w:t>
            </w:r>
          </w:p>
        </w:tc>
        <w:tc>
          <w:tcPr>
            <w:tcW w:w="1752" w:type="dxa"/>
          </w:tcPr>
          <w:p w14:paraId="1B74DB68" w14:textId="5D30E5DB" w:rsidR="005A1A46" w:rsidRPr="00465734" w:rsidRDefault="00C16EC0" w:rsidP="006E6C73">
            <w:pPr>
              <w:tabs>
                <w:tab w:val="left" w:pos="5712"/>
              </w:tabs>
              <w:rPr>
                <w:rFonts w:ascii="Arial" w:hAnsi="Arial" w:cs="Arial"/>
              </w:rPr>
            </w:pPr>
            <w:r w:rsidRPr="008E3223">
              <w:rPr>
                <w:rFonts w:ascii="Arial" w:hAnsi="Arial" w:cs="Arial"/>
              </w:rPr>
              <w:t>Dawn Rauch</w:t>
            </w:r>
          </w:p>
        </w:tc>
        <w:tc>
          <w:tcPr>
            <w:tcW w:w="1414" w:type="dxa"/>
          </w:tcPr>
          <w:p w14:paraId="6D11D376" w14:textId="77777777" w:rsidR="005A1A46" w:rsidRPr="00465734" w:rsidRDefault="005A1A46" w:rsidP="006E6C73">
            <w:pPr>
              <w:tabs>
                <w:tab w:val="left" w:pos="5712"/>
              </w:tabs>
              <w:rPr>
                <w:rFonts w:ascii="Arial" w:hAnsi="Arial" w:cs="Arial"/>
                <w:b/>
              </w:rPr>
            </w:pPr>
            <w:r w:rsidRPr="00465734">
              <w:rPr>
                <w:rFonts w:ascii="Arial" w:hAnsi="Arial" w:cs="Arial"/>
                <w:b/>
              </w:rPr>
              <w:t>Region 14</w:t>
            </w:r>
          </w:p>
        </w:tc>
        <w:tc>
          <w:tcPr>
            <w:tcW w:w="1892" w:type="dxa"/>
          </w:tcPr>
          <w:p w14:paraId="5FEA35EC" w14:textId="32D40001" w:rsidR="00C16EC0" w:rsidRPr="00465734" w:rsidRDefault="00975A1B" w:rsidP="006E6C73">
            <w:pPr>
              <w:tabs>
                <w:tab w:val="left" w:pos="5712"/>
              </w:tabs>
              <w:rPr>
                <w:rFonts w:ascii="Arial" w:hAnsi="Arial" w:cs="Arial"/>
              </w:rPr>
            </w:pPr>
            <w:r>
              <w:rPr>
                <w:rFonts w:ascii="Arial" w:hAnsi="Arial" w:cs="Lucida Grande"/>
                <w:color w:val="000000"/>
              </w:rPr>
              <w:t>absent</w:t>
            </w:r>
          </w:p>
        </w:tc>
      </w:tr>
      <w:tr w:rsidR="005A1A46" w:rsidRPr="003B1F98" w14:paraId="5C5F2FB1" w14:textId="77777777" w:rsidTr="006E6C73">
        <w:tc>
          <w:tcPr>
            <w:tcW w:w="1282" w:type="dxa"/>
          </w:tcPr>
          <w:p w14:paraId="6BD1B7A7" w14:textId="0527FAFB" w:rsidR="005A1A46" w:rsidRPr="00465734" w:rsidRDefault="005A1A46" w:rsidP="006E6C73">
            <w:pPr>
              <w:tabs>
                <w:tab w:val="left" w:pos="5712"/>
              </w:tabs>
              <w:rPr>
                <w:rFonts w:ascii="Arial" w:hAnsi="Arial" w:cs="Arial"/>
                <w:b/>
              </w:rPr>
            </w:pPr>
            <w:r w:rsidRPr="00465734">
              <w:rPr>
                <w:rFonts w:ascii="Arial" w:hAnsi="Arial" w:cs="Arial"/>
                <w:b/>
              </w:rPr>
              <w:t>Region 3</w:t>
            </w:r>
          </w:p>
        </w:tc>
        <w:tc>
          <w:tcPr>
            <w:tcW w:w="1662" w:type="dxa"/>
          </w:tcPr>
          <w:p w14:paraId="677F66BF" w14:textId="2439C62D" w:rsidR="005A1A46" w:rsidRPr="00465734" w:rsidRDefault="00C16EC0" w:rsidP="006E6C73">
            <w:pPr>
              <w:tabs>
                <w:tab w:val="left" w:pos="5712"/>
              </w:tabs>
              <w:rPr>
                <w:rFonts w:ascii="Arial" w:hAnsi="Arial" w:cs="Arial"/>
              </w:rPr>
            </w:pPr>
            <w:r>
              <w:rPr>
                <w:rFonts w:ascii="Arial" w:hAnsi="Arial" w:cs="Arial"/>
              </w:rPr>
              <w:t>Cindy Anderson</w:t>
            </w:r>
          </w:p>
        </w:tc>
        <w:tc>
          <w:tcPr>
            <w:tcW w:w="1574" w:type="dxa"/>
          </w:tcPr>
          <w:p w14:paraId="1D958894" w14:textId="77777777" w:rsidR="005A1A46" w:rsidRPr="00465734" w:rsidRDefault="005A1A46" w:rsidP="006E6C73">
            <w:pPr>
              <w:tabs>
                <w:tab w:val="left" w:pos="5712"/>
              </w:tabs>
              <w:rPr>
                <w:rFonts w:ascii="Arial" w:hAnsi="Arial" w:cs="Arial"/>
                <w:b/>
              </w:rPr>
            </w:pPr>
            <w:r w:rsidRPr="00465734">
              <w:rPr>
                <w:rFonts w:ascii="Arial" w:hAnsi="Arial" w:cs="Arial"/>
                <w:b/>
              </w:rPr>
              <w:t>Region 9</w:t>
            </w:r>
          </w:p>
        </w:tc>
        <w:tc>
          <w:tcPr>
            <w:tcW w:w="1752" w:type="dxa"/>
          </w:tcPr>
          <w:p w14:paraId="0CA54B6B" w14:textId="3BF8DFC3" w:rsidR="005A1A46" w:rsidRPr="00465734" w:rsidRDefault="00C16EC0" w:rsidP="006E6C73">
            <w:pPr>
              <w:rPr>
                <w:rFonts w:ascii="Arial" w:hAnsi="Arial" w:cs="Arial"/>
              </w:rPr>
            </w:pPr>
            <w:r w:rsidRPr="008E3223">
              <w:rPr>
                <w:rFonts w:ascii="Arial" w:hAnsi="Arial" w:cs="Arial"/>
              </w:rPr>
              <w:t>Deb Tegtmeyer</w:t>
            </w:r>
          </w:p>
        </w:tc>
        <w:tc>
          <w:tcPr>
            <w:tcW w:w="1414" w:type="dxa"/>
          </w:tcPr>
          <w:p w14:paraId="3C4AFD72" w14:textId="77777777" w:rsidR="005A1A46" w:rsidRPr="00465734" w:rsidRDefault="005A1A46" w:rsidP="006E6C73">
            <w:pPr>
              <w:tabs>
                <w:tab w:val="left" w:pos="5712"/>
              </w:tabs>
              <w:rPr>
                <w:rFonts w:ascii="Arial" w:hAnsi="Arial" w:cs="Arial"/>
                <w:b/>
              </w:rPr>
            </w:pPr>
            <w:r w:rsidRPr="00465734">
              <w:rPr>
                <w:rFonts w:ascii="Arial" w:hAnsi="Arial" w:cs="Arial"/>
                <w:b/>
              </w:rPr>
              <w:t>Region 15</w:t>
            </w:r>
          </w:p>
        </w:tc>
        <w:tc>
          <w:tcPr>
            <w:tcW w:w="1892" w:type="dxa"/>
          </w:tcPr>
          <w:p w14:paraId="23E9D363" w14:textId="36F25AFC" w:rsidR="005A1A46" w:rsidRPr="00465734" w:rsidRDefault="00C16EC0" w:rsidP="006E6C73">
            <w:pPr>
              <w:rPr>
                <w:rFonts w:ascii="Arial" w:hAnsi="Arial" w:cs="Arial"/>
              </w:rPr>
            </w:pPr>
            <w:r>
              <w:rPr>
                <w:rFonts w:ascii="Arial" w:hAnsi="Arial" w:cs="Arial"/>
              </w:rPr>
              <w:t>Elaina Bradley</w:t>
            </w:r>
          </w:p>
        </w:tc>
      </w:tr>
      <w:tr w:rsidR="005A1A46" w:rsidRPr="003B1F98" w14:paraId="30954472" w14:textId="77777777" w:rsidTr="006E6C73">
        <w:trPr>
          <w:trHeight w:val="279"/>
        </w:trPr>
        <w:tc>
          <w:tcPr>
            <w:tcW w:w="1282" w:type="dxa"/>
          </w:tcPr>
          <w:p w14:paraId="4AB57204" w14:textId="77777777" w:rsidR="005A1A46" w:rsidRPr="00465734" w:rsidRDefault="005A1A46" w:rsidP="006E6C73">
            <w:pPr>
              <w:tabs>
                <w:tab w:val="left" w:pos="5712"/>
              </w:tabs>
              <w:rPr>
                <w:rFonts w:ascii="Arial" w:hAnsi="Arial" w:cs="Arial"/>
                <w:b/>
              </w:rPr>
            </w:pPr>
            <w:r w:rsidRPr="00465734">
              <w:rPr>
                <w:rFonts w:ascii="Arial" w:hAnsi="Arial" w:cs="Arial"/>
                <w:b/>
              </w:rPr>
              <w:t>Region 4</w:t>
            </w:r>
          </w:p>
        </w:tc>
        <w:tc>
          <w:tcPr>
            <w:tcW w:w="1662" w:type="dxa"/>
          </w:tcPr>
          <w:p w14:paraId="2DE3DFB1" w14:textId="77777777" w:rsidR="005A1A46" w:rsidRPr="00465734" w:rsidRDefault="005A1A46" w:rsidP="006E6C73">
            <w:pPr>
              <w:rPr>
                <w:rFonts w:ascii="Arial" w:hAnsi="Arial" w:cs="Arial"/>
              </w:rPr>
            </w:pPr>
            <w:r w:rsidRPr="00465734">
              <w:rPr>
                <w:rFonts w:ascii="Arial" w:hAnsi="Arial" w:cs="Arial"/>
              </w:rPr>
              <w:t>Debbie Kubena-Yatsko</w:t>
            </w:r>
          </w:p>
        </w:tc>
        <w:tc>
          <w:tcPr>
            <w:tcW w:w="1574" w:type="dxa"/>
          </w:tcPr>
          <w:p w14:paraId="1A0953C8" w14:textId="77777777" w:rsidR="005A1A46" w:rsidRPr="00465734" w:rsidRDefault="005A1A46" w:rsidP="006E6C73">
            <w:pPr>
              <w:tabs>
                <w:tab w:val="left" w:pos="5712"/>
              </w:tabs>
              <w:rPr>
                <w:rFonts w:ascii="Arial" w:hAnsi="Arial" w:cs="Arial"/>
                <w:b/>
              </w:rPr>
            </w:pPr>
            <w:r w:rsidRPr="00465734">
              <w:rPr>
                <w:rFonts w:ascii="Arial" w:hAnsi="Arial" w:cs="Arial"/>
                <w:b/>
              </w:rPr>
              <w:t>Region 10</w:t>
            </w:r>
          </w:p>
        </w:tc>
        <w:tc>
          <w:tcPr>
            <w:tcW w:w="1752" w:type="dxa"/>
          </w:tcPr>
          <w:p w14:paraId="72DFE842" w14:textId="59B7029D" w:rsidR="005A1A46" w:rsidRPr="00465734" w:rsidRDefault="00C16EC0" w:rsidP="006E6C73">
            <w:pPr>
              <w:rPr>
                <w:rFonts w:ascii="Arial" w:hAnsi="Arial" w:cs="Arial"/>
              </w:rPr>
            </w:pPr>
            <w:r>
              <w:rPr>
                <w:rFonts w:ascii="Arial" w:hAnsi="Arial" w:cs="Arial"/>
              </w:rPr>
              <w:t>(seat is vacant)</w:t>
            </w:r>
          </w:p>
        </w:tc>
        <w:tc>
          <w:tcPr>
            <w:tcW w:w="1414" w:type="dxa"/>
          </w:tcPr>
          <w:p w14:paraId="12DE2C8E" w14:textId="77777777" w:rsidR="005A1A46" w:rsidRPr="00465734" w:rsidRDefault="005A1A46" w:rsidP="006E6C73">
            <w:pPr>
              <w:tabs>
                <w:tab w:val="left" w:pos="5712"/>
              </w:tabs>
              <w:rPr>
                <w:rFonts w:ascii="Arial" w:hAnsi="Arial" w:cs="Arial"/>
                <w:b/>
              </w:rPr>
            </w:pPr>
            <w:r w:rsidRPr="00465734">
              <w:rPr>
                <w:rFonts w:ascii="Arial" w:hAnsi="Arial" w:cs="Arial"/>
                <w:b/>
              </w:rPr>
              <w:t>Region 16</w:t>
            </w:r>
          </w:p>
        </w:tc>
        <w:tc>
          <w:tcPr>
            <w:tcW w:w="1892" w:type="dxa"/>
          </w:tcPr>
          <w:p w14:paraId="706011BC" w14:textId="77777777" w:rsidR="005A1A46" w:rsidRPr="00465734" w:rsidRDefault="005A1A46" w:rsidP="006E6C73">
            <w:pPr>
              <w:tabs>
                <w:tab w:val="left" w:pos="5712"/>
              </w:tabs>
              <w:rPr>
                <w:rFonts w:ascii="Arial" w:hAnsi="Arial" w:cs="Arial"/>
              </w:rPr>
            </w:pPr>
            <w:r w:rsidRPr="00465734">
              <w:rPr>
                <w:rFonts w:ascii="Arial" w:hAnsi="Arial" w:cs="Arial"/>
              </w:rPr>
              <w:t>Bambi Baughn</w:t>
            </w:r>
          </w:p>
        </w:tc>
      </w:tr>
      <w:tr w:rsidR="005A1A46" w:rsidRPr="003B1F98" w14:paraId="30566FEB" w14:textId="77777777" w:rsidTr="006E6C73">
        <w:tc>
          <w:tcPr>
            <w:tcW w:w="1282" w:type="dxa"/>
          </w:tcPr>
          <w:p w14:paraId="696F99A9" w14:textId="77777777" w:rsidR="005A1A46" w:rsidRPr="00465734" w:rsidRDefault="005A1A46" w:rsidP="006E6C73">
            <w:pPr>
              <w:tabs>
                <w:tab w:val="left" w:pos="5712"/>
              </w:tabs>
              <w:rPr>
                <w:rFonts w:ascii="Arial" w:hAnsi="Arial" w:cs="Arial"/>
                <w:b/>
              </w:rPr>
            </w:pPr>
            <w:r w:rsidRPr="00465734">
              <w:rPr>
                <w:rFonts w:ascii="Arial" w:hAnsi="Arial" w:cs="Arial"/>
                <w:b/>
              </w:rPr>
              <w:t>Region 5</w:t>
            </w:r>
          </w:p>
        </w:tc>
        <w:tc>
          <w:tcPr>
            <w:tcW w:w="1662" w:type="dxa"/>
          </w:tcPr>
          <w:p w14:paraId="7966D6D6" w14:textId="0FEDA17E" w:rsidR="005A1A46" w:rsidRPr="00465734" w:rsidRDefault="005A1A46" w:rsidP="006E6C73">
            <w:pPr>
              <w:tabs>
                <w:tab w:val="left" w:pos="5712"/>
              </w:tabs>
              <w:rPr>
                <w:rFonts w:ascii="Arial" w:hAnsi="Arial" w:cs="Arial"/>
              </w:rPr>
            </w:pPr>
            <w:r>
              <w:rPr>
                <w:rFonts w:ascii="Arial" w:hAnsi="Arial" w:cs="Arial"/>
              </w:rPr>
              <w:t>Tammy Weaver</w:t>
            </w:r>
          </w:p>
        </w:tc>
        <w:tc>
          <w:tcPr>
            <w:tcW w:w="1574" w:type="dxa"/>
          </w:tcPr>
          <w:p w14:paraId="794CC5E7" w14:textId="77777777" w:rsidR="005A1A46" w:rsidRPr="007931C6" w:rsidRDefault="005A1A46" w:rsidP="006E6C73">
            <w:pPr>
              <w:tabs>
                <w:tab w:val="left" w:pos="5712"/>
              </w:tabs>
              <w:rPr>
                <w:rFonts w:ascii="Arial" w:hAnsi="Arial" w:cs="Arial"/>
                <w:b/>
              </w:rPr>
            </w:pPr>
            <w:r w:rsidRPr="007931C6">
              <w:rPr>
                <w:rFonts w:ascii="Arial" w:hAnsi="Arial" w:cs="Arial"/>
                <w:b/>
              </w:rPr>
              <w:t>Region 11</w:t>
            </w:r>
          </w:p>
        </w:tc>
        <w:tc>
          <w:tcPr>
            <w:tcW w:w="1752" w:type="dxa"/>
          </w:tcPr>
          <w:p w14:paraId="115119FE" w14:textId="0084E085" w:rsidR="005A1A46" w:rsidRPr="007931C6" w:rsidRDefault="00975A1B" w:rsidP="006E6C73">
            <w:pPr>
              <w:tabs>
                <w:tab w:val="left" w:pos="5712"/>
              </w:tabs>
              <w:rPr>
                <w:rFonts w:ascii="Arial" w:hAnsi="Arial" w:cs="Arial"/>
              </w:rPr>
            </w:pPr>
            <w:r>
              <w:rPr>
                <w:rFonts w:ascii="Arial" w:hAnsi="Arial" w:cs="Lucida Grande"/>
                <w:color w:val="000000"/>
              </w:rPr>
              <w:t>absent</w:t>
            </w:r>
          </w:p>
        </w:tc>
        <w:tc>
          <w:tcPr>
            <w:tcW w:w="1414" w:type="dxa"/>
          </w:tcPr>
          <w:p w14:paraId="6F5EEE7A" w14:textId="77777777" w:rsidR="005A1A46" w:rsidRPr="002B436D" w:rsidRDefault="005A1A46" w:rsidP="006E6C73">
            <w:pPr>
              <w:tabs>
                <w:tab w:val="left" w:pos="5712"/>
              </w:tabs>
              <w:rPr>
                <w:rFonts w:ascii="Arial" w:hAnsi="Arial" w:cs="Arial"/>
                <w:b/>
              </w:rPr>
            </w:pPr>
            <w:r w:rsidRPr="002B436D">
              <w:rPr>
                <w:rFonts w:ascii="Arial" w:hAnsi="Arial" w:cs="Arial"/>
                <w:b/>
              </w:rPr>
              <w:t>Region 17</w:t>
            </w:r>
          </w:p>
        </w:tc>
        <w:tc>
          <w:tcPr>
            <w:tcW w:w="1892" w:type="dxa"/>
          </w:tcPr>
          <w:p w14:paraId="27EFA9EB" w14:textId="07FF7196" w:rsidR="005A1A46" w:rsidRPr="002B436D" w:rsidRDefault="003349A9" w:rsidP="006E6C73">
            <w:pPr>
              <w:tabs>
                <w:tab w:val="left" w:pos="5712"/>
              </w:tabs>
              <w:rPr>
                <w:rFonts w:ascii="Arial" w:hAnsi="Arial" w:cs="Arial"/>
              </w:rPr>
            </w:pPr>
            <w:r>
              <w:rPr>
                <w:rFonts w:ascii="Arial" w:hAnsi="Arial" w:cs="Arial"/>
              </w:rPr>
              <w:t>Heather Thabet</w:t>
            </w:r>
          </w:p>
        </w:tc>
      </w:tr>
      <w:tr w:rsidR="005A1A46" w:rsidRPr="003B1F98" w14:paraId="25FEA3AA" w14:textId="77777777" w:rsidTr="006E6C73">
        <w:tc>
          <w:tcPr>
            <w:tcW w:w="1282" w:type="dxa"/>
          </w:tcPr>
          <w:p w14:paraId="7F105226" w14:textId="77777777" w:rsidR="005A1A46" w:rsidRPr="00465734" w:rsidRDefault="005A1A46" w:rsidP="006E6C73">
            <w:pPr>
              <w:tabs>
                <w:tab w:val="left" w:pos="5712"/>
              </w:tabs>
              <w:rPr>
                <w:rFonts w:ascii="Arial" w:hAnsi="Arial" w:cs="Arial"/>
                <w:b/>
              </w:rPr>
            </w:pPr>
            <w:r w:rsidRPr="00465734">
              <w:rPr>
                <w:rFonts w:ascii="Arial" w:hAnsi="Arial" w:cs="Arial"/>
                <w:b/>
              </w:rPr>
              <w:t>Region 6</w:t>
            </w:r>
          </w:p>
        </w:tc>
        <w:tc>
          <w:tcPr>
            <w:tcW w:w="1662" w:type="dxa"/>
          </w:tcPr>
          <w:p w14:paraId="302C7C75" w14:textId="176BA69C" w:rsidR="005A1A46" w:rsidRPr="00465734" w:rsidRDefault="003349A9" w:rsidP="006E6C73">
            <w:pPr>
              <w:tabs>
                <w:tab w:val="left" w:pos="5712"/>
              </w:tabs>
              <w:rPr>
                <w:rFonts w:ascii="Arial" w:hAnsi="Arial" w:cs="Arial"/>
              </w:rPr>
            </w:pPr>
            <w:r>
              <w:rPr>
                <w:rFonts w:ascii="Arial" w:hAnsi="Arial" w:cs="Arial"/>
              </w:rPr>
              <w:t>Marti Grimm</w:t>
            </w:r>
          </w:p>
        </w:tc>
        <w:tc>
          <w:tcPr>
            <w:tcW w:w="1574" w:type="dxa"/>
          </w:tcPr>
          <w:p w14:paraId="35AF69B3" w14:textId="77777777" w:rsidR="005A1A46" w:rsidRPr="00465734" w:rsidRDefault="005A1A46" w:rsidP="006E6C73">
            <w:pPr>
              <w:tabs>
                <w:tab w:val="left" w:pos="5712"/>
              </w:tabs>
              <w:rPr>
                <w:rFonts w:ascii="Arial" w:hAnsi="Arial" w:cs="Arial"/>
                <w:b/>
              </w:rPr>
            </w:pPr>
            <w:r w:rsidRPr="00465734">
              <w:rPr>
                <w:rFonts w:ascii="Arial" w:hAnsi="Arial" w:cs="Arial"/>
                <w:b/>
              </w:rPr>
              <w:t>Region 12</w:t>
            </w:r>
          </w:p>
        </w:tc>
        <w:tc>
          <w:tcPr>
            <w:tcW w:w="1752" w:type="dxa"/>
          </w:tcPr>
          <w:p w14:paraId="2576BFA9" w14:textId="71AAC2E1" w:rsidR="005A1A46" w:rsidRPr="00465734" w:rsidRDefault="00975A1B" w:rsidP="006E6C73">
            <w:pPr>
              <w:tabs>
                <w:tab w:val="left" w:pos="5712"/>
              </w:tabs>
              <w:rPr>
                <w:rFonts w:ascii="Arial" w:hAnsi="Arial" w:cs="Arial"/>
              </w:rPr>
            </w:pPr>
            <w:r>
              <w:rPr>
                <w:rFonts w:ascii="Arial" w:hAnsi="Arial" w:cs="Lucida Grande"/>
                <w:color w:val="000000"/>
              </w:rPr>
              <w:t>absent</w:t>
            </w:r>
          </w:p>
        </w:tc>
        <w:tc>
          <w:tcPr>
            <w:tcW w:w="1414" w:type="dxa"/>
          </w:tcPr>
          <w:p w14:paraId="57A382BF" w14:textId="77777777" w:rsidR="005A1A46" w:rsidRPr="00121225" w:rsidRDefault="005A1A46" w:rsidP="006E6C73">
            <w:pPr>
              <w:tabs>
                <w:tab w:val="left" w:pos="5712"/>
              </w:tabs>
              <w:rPr>
                <w:rFonts w:ascii="Arial" w:hAnsi="Arial" w:cs="Arial"/>
                <w:b/>
                <w:color w:val="FF0000"/>
              </w:rPr>
            </w:pPr>
          </w:p>
        </w:tc>
        <w:tc>
          <w:tcPr>
            <w:tcW w:w="1892" w:type="dxa"/>
          </w:tcPr>
          <w:p w14:paraId="36DBB6C0" w14:textId="77777777" w:rsidR="005A1A46" w:rsidRPr="00121225" w:rsidRDefault="005A1A46" w:rsidP="006E6C73">
            <w:pPr>
              <w:tabs>
                <w:tab w:val="left" w:pos="5712"/>
              </w:tabs>
              <w:rPr>
                <w:rFonts w:ascii="Arial" w:hAnsi="Arial" w:cs="Arial"/>
                <w:color w:val="FF0000"/>
              </w:rPr>
            </w:pPr>
          </w:p>
        </w:tc>
      </w:tr>
      <w:tr w:rsidR="005A1A46" w:rsidRPr="003B1F98" w14:paraId="09EE064B" w14:textId="77777777" w:rsidTr="006E6C73">
        <w:tc>
          <w:tcPr>
            <w:tcW w:w="1282" w:type="dxa"/>
          </w:tcPr>
          <w:p w14:paraId="34D98846" w14:textId="77777777" w:rsidR="005A1A46" w:rsidRPr="00465734" w:rsidRDefault="005A1A46" w:rsidP="006E6C73">
            <w:pPr>
              <w:tabs>
                <w:tab w:val="left" w:pos="5712"/>
              </w:tabs>
              <w:rPr>
                <w:rFonts w:ascii="Arial" w:hAnsi="Arial" w:cs="Arial"/>
                <w:b/>
              </w:rPr>
            </w:pPr>
            <w:r w:rsidRPr="00465734">
              <w:rPr>
                <w:rFonts w:ascii="Arial" w:hAnsi="Arial" w:cs="Arial"/>
                <w:b/>
              </w:rPr>
              <w:t>At – Large VA</w:t>
            </w:r>
          </w:p>
        </w:tc>
        <w:tc>
          <w:tcPr>
            <w:tcW w:w="1662" w:type="dxa"/>
          </w:tcPr>
          <w:p w14:paraId="184DC544" w14:textId="77777777" w:rsidR="005A1A46" w:rsidRPr="00465734" w:rsidRDefault="005A1A46" w:rsidP="006E6C73">
            <w:pPr>
              <w:tabs>
                <w:tab w:val="left" w:pos="5712"/>
              </w:tabs>
              <w:rPr>
                <w:rFonts w:ascii="Arial" w:hAnsi="Arial" w:cs="Arial"/>
              </w:rPr>
            </w:pPr>
            <w:r w:rsidRPr="00465734">
              <w:rPr>
                <w:rFonts w:ascii="Arial" w:hAnsi="Arial" w:cs="Arial"/>
              </w:rPr>
              <w:t>Jim Kennelly</w:t>
            </w:r>
          </w:p>
        </w:tc>
        <w:tc>
          <w:tcPr>
            <w:tcW w:w="1574" w:type="dxa"/>
          </w:tcPr>
          <w:p w14:paraId="7A958164" w14:textId="77777777" w:rsidR="005A1A46" w:rsidRPr="00465734" w:rsidRDefault="005A1A46" w:rsidP="006E6C73">
            <w:pPr>
              <w:tabs>
                <w:tab w:val="left" w:pos="5712"/>
              </w:tabs>
              <w:rPr>
                <w:rFonts w:ascii="Arial" w:hAnsi="Arial" w:cs="Arial"/>
                <w:b/>
              </w:rPr>
            </w:pPr>
            <w:r w:rsidRPr="00465734">
              <w:rPr>
                <w:rFonts w:ascii="Arial" w:hAnsi="Arial" w:cs="Arial"/>
                <w:b/>
              </w:rPr>
              <w:t>At-Large Youth Provider</w:t>
            </w:r>
          </w:p>
        </w:tc>
        <w:tc>
          <w:tcPr>
            <w:tcW w:w="1752" w:type="dxa"/>
          </w:tcPr>
          <w:p w14:paraId="5491C24D" w14:textId="77777777" w:rsidR="005A1A46" w:rsidRPr="00465734" w:rsidRDefault="005A1A46" w:rsidP="006E6C73">
            <w:pPr>
              <w:tabs>
                <w:tab w:val="left" w:pos="5712"/>
              </w:tabs>
              <w:rPr>
                <w:rFonts w:ascii="Arial" w:hAnsi="Arial" w:cs="Arial"/>
              </w:rPr>
            </w:pPr>
            <w:r w:rsidRPr="00465734">
              <w:rPr>
                <w:rFonts w:ascii="Arial" w:hAnsi="Arial" w:cs="Arial"/>
              </w:rPr>
              <w:t>Fallon Kingery</w:t>
            </w:r>
          </w:p>
        </w:tc>
        <w:tc>
          <w:tcPr>
            <w:tcW w:w="1414" w:type="dxa"/>
          </w:tcPr>
          <w:p w14:paraId="76D7F03E" w14:textId="77777777" w:rsidR="005A1A46" w:rsidRPr="00465734" w:rsidRDefault="005A1A46" w:rsidP="006E6C73">
            <w:pPr>
              <w:tabs>
                <w:tab w:val="left" w:pos="5712"/>
              </w:tabs>
              <w:rPr>
                <w:rFonts w:ascii="Arial" w:hAnsi="Arial" w:cs="Arial"/>
                <w:b/>
              </w:rPr>
            </w:pPr>
            <w:r w:rsidRPr="00465734">
              <w:rPr>
                <w:rFonts w:ascii="Arial" w:hAnsi="Arial" w:cs="Arial"/>
                <w:b/>
              </w:rPr>
              <w:t>At-Large CSH</w:t>
            </w:r>
          </w:p>
        </w:tc>
        <w:tc>
          <w:tcPr>
            <w:tcW w:w="1892" w:type="dxa"/>
          </w:tcPr>
          <w:p w14:paraId="5528666B" w14:textId="6261E901" w:rsidR="005A1A46" w:rsidRPr="00465734" w:rsidRDefault="00581015" w:rsidP="006E6C73">
            <w:pPr>
              <w:tabs>
                <w:tab w:val="left" w:pos="5712"/>
              </w:tabs>
              <w:rPr>
                <w:rFonts w:ascii="Arial" w:hAnsi="Arial" w:cs="Arial"/>
              </w:rPr>
            </w:pPr>
            <w:r>
              <w:rPr>
                <w:rFonts w:ascii="Arial" w:hAnsi="Arial" w:cs="Arial"/>
              </w:rPr>
              <w:t>Katie Kitchin</w:t>
            </w:r>
          </w:p>
        </w:tc>
      </w:tr>
      <w:tr w:rsidR="005A1A46" w:rsidRPr="003B1F98" w14:paraId="29998E58" w14:textId="77777777" w:rsidTr="006E6C73">
        <w:tc>
          <w:tcPr>
            <w:tcW w:w="1282" w:type="dxa"/>
          </w:tcPr>
          <w:p w14:paraId="0B74228C" w14:textId="77777777" w:rsidR="005A1A46" w:rsidRPr="00465734" w:rsidRDefault="005A1A46" w:rsidP="006E6C73">
            <w:pPr>
              <w:tabs>
                <w:tab w:val="left" w:pos="5712"/>
              </w:tabs>
              <w:rPr>
                <w:rFonts w:ascii="Arial" w:hAnsi="Arial" w:cs="Arial"/>
                <w:b/>
              </w:rPr>
            </w:pPr>
            <w:r w:rsidRPr="00465734">
              <w:rPr>
                <w:rFonts w:ascii="Arial" w:hAnsi="Arial" w:cs="Arial"/>
                <w:b/>
              </w:rPr>
              <w:t>At – Large DV</w:t>
            </w:r>
          </w:p>
        </w:tc>
        <w:tc>
          <w:tcPr>
            <w:tcW w:w="1662" w:type="dxa"/>
          </w:tcPr>
          <w:p w14:paraId="015E0A4A" w14:textId="77777777" w:rsidR="005A1A46" w:rsidRPr="00465734" w:rsidRDefault="005A1A46" w:rsidP="006E6C73">
            <w:pPr>
              <w:tabs>
                <w:tab w:val="left" w:pos="5712"/>
              </w:tabs>
              <w:rPr>
                <w:rFonts w:ascii="Arial" w:hAnsi="Arial" w:cs="Arial"/>
              </w:rPr>
            </w:pPr>
            <w:r w:rsidRPr="00465734">
              <w:rPr>
                <w:rFonts w:ascii="Arial" w:hAnsi="Arial" w:cs="Arial"/>
              </w:rPr>
              <w:t>Sarah Masek</w:t>
            </w:r>
          </w:p>
        </w:tc>
        <w:tc>
          <w:tcPr>
            <w:tcW w:w="1574" w:type="dxa"/>
          </w:tcPr>
          <w:p w14:paraId="0FBD598E" w14:textId="77777777" w:rsidR="005A1A46" w:rsidRPr="00D57E26" w:rsidRDefault="005A1A46" w:rsidP="006E6C73">
            <w:pPr>
              <w:tabs>
                <w:tab w:val="left" w:pos="5712"/>
              </w:tabs>
              <w:rPr>
                <w:rFonts w:ascii="Arial" w:hAnsi="Arial" w:cs="Arial"/>
                <w:b/>
              </w:rPr>
            </w:pPr>
            <w:r w:rsidRPr="00D57E26">
              <w:rPr>
                <w:rFonts w:ascii="Arial" w:hAnsi="Arial" w:cs="Arial"/>
                <w:b/>
              </w:rPr>
              <w:t>At-Large OHFA</w:t>
            </w:r>
          </w:p>
        </w:tc>
        <w:tc>
          <w:tcPr>
            <w:tcW w:w="1752" w:type="dxa"/>
          </w:tcPr>
          <w:p w14:paraId="6E21578E" w14:textId="683A8C69" w:rsidR="005A1A46" w:rsidRPr="00D57E26" w:rsidRDefault="00975A1B" w:rsidP="006E6C73">
            <w:pPr>
              <w:tabs>
                <w:tab w:val="left" w:pos="5712"/>
              </w:tabs>
              <w:rPr>
                <w:rFonts w:ascii="Arial" w:hAnsi="Arial" w:cs="Arial"/>
              </w:rPr>
            </w:pPr>
            <w:r>
              <w:rPr>
                <w:rFonts w:ascii="Arial" w:hAnsi="Arial" w:cs="Lucida Grande"/>
                <w:color w:val="000000"/>
              </w:rPr>
              <w:t>absent</w:t>
            </w:r>
          </w:p>
        </w:tc>
        <w:tc>
          <w:tcPr>
            <w:tcW w:w="1414" w:type="dxa"/>
          </w:tcPr>
          <w:p w14:paraId="1028C60E" w14:textId="77777777" w:rsidR="005A1A46" w:rsidRPr="00465734" w:rsidRDefault="005A1A46" w:rsidP="006E6C73">
            <w:pPr>
              <w:tabs>
                <w:tab w:val="left" w:pos="5712"/>
              </w:tabs>
              <w:rPr>
                <w:rFonts w:ascii="Arial" w:hAnsi="Arial" w:cs="Arial"/>
                <w:b/>
              </w:rPr>
            </w:pPr>
            <w:r w:rsidRPr="00465734">
              <w:rPr>
                <w:rFonts w:ascii="Arial" w:hAnsi="Arial" w:cs="Arial"/>
                <w:b/>
              </w:rPr>
              <w:t>At – Large OCCH</w:t>
            </w:r>
          </w:p>
        </w:tc>
        <w:tc>
          <w:tcPr>
            <w:tcW w:w="1892" w:type="dxa"/>
          </w:tcPr>
          <w:p w14:paraId="0742D2B1" w14:textId="493EBCB1" w:rsidR="005A1A46" w:rsidRPr="00465734" w:rsidRDefault="00975A1B" w:rsidP="006E6C73">
            <w:pPr>
              <w:tabs>
                <w:tab w:val="left" w:pos="5712"/>
              </w:tabs>
              <w:rPr>
                <w:rFonts w:ascii="Arial" w:hAnsi="Arial" w:cs="Arial"/>
              </w:rPr>
            </w:pPr>
            <w:r>
              <w:rPr>
                <w:rFonts w:ascii="Arial" w:hAnsi="Arial" w:cs="Lucida Grande"/>
                <w:color w:val="000000"/>
              </w:rPr>
              <w:t>absent</w:t>
            </w:r>
          </w:p>
        </w:tc>
      </w:tr>
      <w:tr w:rsidR="005A1A46" w:rsidRPr="003B1F98" w14:paraId="31D8D223" w14:textId="77777777" w:rsidTr="006E6C73">
        <w:tc>
          <w:tcPr>
            <w:tcW w:w="1282" w:type="dxa"/>
          </w:tcPr>
          <w:p w14:paraId="02F688BC" w14:textId="77777777" w:rsidR="005A1A46" w:rsidRPr="00465734" w:rsidRDefault="005A1A46" w:rsidP="006E6C73">
            <w:pPr>
              <w:tabs>
                <w:tab w:val="left" w:pos="5712"/>
              </w:tabs>
              <w:rPr>
                <w:rFonts w:ascii="Arial" w:hAnsi="Arial" w:cs="Arial"/>
                <w:b/>
              </w:rPr>
            </w:pPr>
            <w:r w:rsidRPr="00465734">
              <w:rPr>
                <w:rFonts w:ascii="Arial" w:hAnsi="Arial" w:cs="Arial"/>
                <w:b/>
              </w:rPr>
              <w:t>At-Large Mental Health</w:t>
            </w:r>
          </w:p>
        </w:tc>
        <w:tc>
          <w:tcPr>
            <w:tcW w:w="1662" w:type="dxa"/>
          </w:tcPr>
          <w:p w14:paraId="46E841B4" w14:textId="34DB06F7" w:rsidR="005A1A46" w:rsidRPr="00465734" w:rsidRDefault="00A44F6F" w:rsidP="006E6C73">
            <w:pPr>
              <w:tabs>
                <w:tab w:val="left" w:pos="5712"/>
              </w:tabs>
              <w:rPr>
                <w:rFonts w:ascii="Arial" w:hAnsi="Arial" w:cs="Arial"/>
              </w:rPr>
            </w:pPr>
            <w:r>
              <w:rPr>
                <w:rFonts w:ascii="Arial" w:hAnsi="Arial" w:cs="Arial"/>
              </w:rPr>
              <w:t>Doug Bailey</w:t>
            </w:r>
          </w:p>
        </w:tc>
        <w:tc>
          <w:tcPr>
            <w:tcW w:w="1574" w:type="dxa"/>
          </w:tcPr>
          <w:p w14:paraId="572D7314" w14:textId="77777777" w:rsidR="005A1A46" w:rsidRPr="005A7BF6" w:rsidRDefault="005A1A46" w:rsidP="006E6C73">
            <w:pPr>
              <w:tabs>
                <w:tab w:val="left" w:pos="5712"/>
              </w:tabs>
              <w:rPr>
                <w:rFonts w:ascii="Arial" w:hAnsi="Arial" w:cs="Arial"/>
              </w:rPr>
            </w:pPr>
            <w:r w:rsidRPr="005A7BF6">
              <w:rPr>
                <w:rFonts w:ascii="Arial" w:hAnsi="Arial" w:cs="Arial"/>
                <w:b/>
              </w:rPr>
              <w:t>At-Large Housing Authority/PSH</w:t>
            </w:r>
          </w:p>
        </w:tc>
        <w:tc>
          <w:tcPr>
            <w:tcW w:w="1752" w:type="dxa"/>
          </w:tcPr>
          <w:p w14:paraId="05A4AB33" w14:textId="76891722" w:rsidR="005A1A46" w:rsidRPr="005A7BF6" w:rsidRDefault="003349A9" w:rsidP="006E6C73">
            <w:pPr>
              <w:tabs>
                <w:tab w:val="left" w:pos="5712"/>
              </w:tabs>
              <w:rPr>
                <w:rFonts w:ascii="Arial" w:hAnsi="Arial" w:cs="Arial"/>
              </w:rPr>
            </w:pPr>
            <w:r>
              <w:rPr>
                <w:rFonts w:ascii="Arial" w:hAnsi="Arial" w:cs="Arial"/>
              </w:rPr>
              <w:t>Nathan Blatchley</w:t>
            </w:r>
          </w:p>
        </w:tc>
        <w:tc>
          <w:tcPr>
            <w:tcW w:w="1414" w:type="dxa"/>
          </w:tcPr>
          <w:p w14:paraId="19486A58" w14:textId="77777777" w:rsidR="005A1A46" w:rsidRPr="00465734" w:rsidRDefault="005A1A46" w:rsidP="006E6C73">
            <w:pPr>
              <w:tabs>
                <w:tab w:val="left" w:pos="5712"/>
              </w:tabs>
              <w:rPr>
                <w:rFonts w:ascii="Arial" w:hAnsi="Arial" w:cs="Arial"/>
                <w:b/>
              </w:rPr>
            </w:pPr>
            <w:r w:rsidRPr="00465734">
              <w:rPr>
                <w:rFonts w:ascii="Arial" w:hAnsi="Arial" w:cs="Arial"/>
                <w:b/>
              </w:rPr>
              <w:t>At-Large PSH</w:t>
            </w:r>
          </w:p>
        </w:tc>
        <w:tc>
          <w:tcPr>
            <w:tcW w:w="1892" w:type="dxa"/>
          </w:tcPr>
          <w:p w14:paraId="0A2468E5" w14:textId="77777777" w:rsidR="005A1A46" w:rsidRPr="00465734" w:rsidRDefault="005A1A46" w:rsidP="006E6C73">
            <w:pPr>
              <w:tabs>
                <w:tab w:val="left" w:pos="5712"/>
              </w:tabs>
              <w:rPr>
                <w:rFonts w:ascii="Arial" w:hAnsi="Arial" w:cs="Arial"/>
              </w:rPr>
            </w:pPr>
            <w:r w:rsidRPr="00465734">
              <w:rPr>
                <w:rFonts w:ascii="Arial" w:hAnsi="Arial" w:cs="Arial"/>
              </w:rPr>
              <w:t>Fred Berry</w:t>
            </w:r>
          </w:p>
        </w:tc>
      </w:tr>
      <w:tr w:rsidR="005A1A46" w:rsidRPr="003B1F98" w14:paraId="65C2177B" w14:textId="77777777" w:rsidTr="006E6C73">
        <w:tc>
          <w:tcPr>
            <w:tcW w:w="1282" w:type="dxa"/>
          </w:tcPr>
          <w:p w14:paraId="6602645A" w14:textId="77777777" w:rsidR="005A1A46" w:rsidRPr="00465734" w:rsidRDefault="005A1A46" w:rsidP="006E6C73">
            <w:pPr>
              <w:tabs>
                <w:tab w:val="left" w:pos="5712"/>
              </w:tabs>
              <w:rPr>
                <w:rFonts w:ascii="Arial" w:hAnsi="Arial" w:cs="Arial"/>
                <w:b/>
              </w:rPr>
            </w:pPr>
            <w:r w:rsidRPr="00465734">
              <w:rPr>
                <w:rFonts w:ascii="Arial" w:hAnsi="Arial" w:cs="Arial"/>
                <w:b/>
              </w:rPr>
              <w:t xml:space="preserve">ODSA </w:t>
            </w:r>
          </w:p>
        </w:tc>
        <w:tc>
          <w:tcPr>
            <w:tcW w:w="4988" w:type="dxa"/>
            <w:gridSpan w:val="3"/>
          </w:tcPr>
          <w:p w14:paraId="04D0B028" w14:textId="77777777" w:rsidR="005A1A46" w:rsidRPr="00465734" w:rsidRDefault="005A1A46" w:rsidP="006E6C73">
            <w:pPr>
              <w:tabs>
                <w:tab w:val="left" w:pos="5712"/>
              </w:tabs>
              <w:rPr>
                <w:rFonts w:ascii="Arial" w:hAnsi="Arial" w:cs="Arial"/>
              </w:rPr>
            </w:pPr>
            <w:r w:rsidRPr="00465734">
              <w:rPr>
                <w:rFonts w:ascii="Arial" w:hAnsi="Arial" w:cs="Arial"/>
              </w:rPr>
              <w:t>Scott Gary</w:t>
            </w:r>
          </w:p>
        </w:tc>
        <w:tc>
          <w:tcPr>
            <w:tcW w:w="1414" w:type="dxa"/>
          </w:tcPr>
          <w:p w14:paraId="5502B1BE" w14:textId="51A700DB" w:rsidR="005A1A46" w:rsidRPr="00465734" w:rsidRDefault="005A1A46" w:rsidP="006E6C73">
            <w:pPr>
              <w:tabs>
                <w:tab w:val="left" w:pos="5712"/>
              </w:tabs>
              <w:rPr>
                <w:rFonts w:ascii="Arial" w:hAnsi="Arial" w:cs="Arial"/>
                <w:b/>
              </w:rPr>
            </w:pPr>
          </w:p>
        </w:tc>
        <w:tc>
          <w:tcPr>
            <w:tcW w:w="1892" w:type="dxa"/>
          </w:tcPr>
          <w:p w14:paraId="63699D3D" w14:textId="28204625" w:rsidR="005A1A46" w:rsidRPr="00465734" w:rsidRDefault="005A1A46" w:rsidP="006E6C73">
            <w:pPr>
              <w:tabs>
                <w:tab w:val="left" w:pos="5712"/>
              </w:tabs>
              <w:rPr>
                <w:rFonts w:ascii="Arial" w:hAnsi="Arial" w:cs="Arial"/>
              </w:rPr>
            </w:pPr>
          </w:p>
        </w:tc>
      </w:tr>
      <w:tr w:rsidR="005A1A46" w:rsidRPr="003B1F98" w14:paraId="03044B36" w14:textId="77777777" w:rsidTr="006E6C73">
        <w:tc>
          <w:tcPr>
            <w:tcW w:w="1282" w:type="dxa"/>
          </w:tcPr>
          <w:p w14:paraId="620BC038" w14:textId="77777777" w:rsidR="005A1A46" w:rsidRPr="00465734" w:rsidRDefault="005A1A46" w:rsidP="006E6C73">
            <w:pPr>
              <w:tabs>
                <w:tab w:val="left" w:pos="5712"/>
              </w:tabs>
              <w:rPr>
                <w:rFonts w:ascii="Arial" w:hAnsi="Arial" w:cs="Arial"/>
                <w:b/>
              </w:rPr>
            </w:pPr>
            <w:r w:rsidRPr="00465734">
              <w:rPr>
                <w:rFonts w:ascii="Arial" w:hAnsi="Arial" w:cs="Arial"/>
                <w:b/>
              </w:rPr>
              <w:t>COHHIO</w:t>
            </w:r>
          </w:p>
        </w:tc>
        <w:tc>
          <w:tcPr>
            <w:tcW w:w="8294" w:type="dxa"/>
            <w:gridSpan w:val="5"/>
          </w:tcPr>
          <w:p w14:paraId="77DA0BD1" w14:textId="77777777" w:rsidR="005A1A46" w:rsidRPr="00465734" w:rsidRDefault="005A1A46" w:rsidP="006E6C73">
            <w:pPr>
              <w:tabs>
                <w:tab w:val="left" w:pos="5712"/>
              </w:tabs>
              <w:rPr>
                <w:rFonts w:ascii="Arial" w:hAnsi="Arial" w:cs="Arial"/>
              </w:rPr>
            </w:pPr>
            <w:r w:rsidRPr="00465734">
              <w:rPr>
                <w:rFonts w:ascii="Arial" w:hAnsi="Arial" w:cs="Arial"/>
              </w:rPr>
              <w:t>Amanda Wilson</w:t>
            </w:r>
          </w:p>
        </w:tc>
      </w:tr>
      <w:tr w:rsidR="005A1A46" w:rsidRPr="003B1F98" w14:paraId="2A4AF03B" w14:textId="77777777" w:rsidTr="006E6C73">
        <w:tc>
          <w:tcPr>
            <w:tcW w:w="1282" w:type="dxa"/>
          </w:tcPr>
          <w:p w14:paraId="56C61AE0" w14:textId="77777777" w:rsidR="005A1A46" w:rsidRPr="00465734" w:rsidRDefault="005A1A46" w:rsidP="006E6C73">
            <w:pPr>
              <w:tabs>
                <w:tab w:val="left" w:pos="5712"/>
              </w:tabs>
              <w:rPr>
                <w:rFonts w:ascii="Arial" w:hAnsi="Arial" w:cs="Arial"/>
                <w:b/>
              </w:rPr>
            </w:pPr>
            <w:r w:rsidRPr="00465734">
              <w:rPr>
                <w:rFonts w:ascii="Arial" w:hAnsi="Arial" w:cs="Arial"/>
                <w:b/>
              </w:rPr>
              <w:t>Others in attendance (non-voting)</w:t>
            </w:r>
          </w:p>
        </w:tc>
        <w:tc>
          <w:tcPr>
            <w:tcW w:w="8294" w:type="dxa"/>
            <w:gridSpan w:val="5"/>
          </w:tcPr>
          <w:p w14:paraId="0901EF6D" w14:textId="2BD20FA0" w:rsidR="005A1A46" w:rsidRPr="00465734" w:rsidRDefault="005A1A46" w:rsidP="0008287D">
            <w:pPr>
              <w:tabs>
                <w:tab w:val="left" w:pos="5712"/>
              </w:tabs>
              <w:rPr>
                <w:rFonts w:ascii="Arial" w:hAnsi="Arial" w:cs="Arial"/>
              </w:rPr>
            </w:pPr>
            <w:r w:rsidRPr="00465734">
              <w:rPr>
                <w:rFonts w:ascii="Arial" w:hAnsi="Arial" w:cs="Arial"/>
              </w:rPr>
              <w:t>Erica Mulryan/COHHIO, Barbara Miller/COHHIO, Chloe Greene/COHHIO, Maura Klein/ODSA, Sandy Sechang/COHHIO</w:t>
            </w:r>
          </w:p>
        </w:tc>
      </w:tr>
    </w:tbl>
    <w:p w14:paraId="7479B319" w14:textId="77777777" w:rsidR="004A6150" w:rsidRPr="008C5109" w:rsidRDefault="004A6150" w:rsidP="00A44F6F">
      <w:pPr>
        <w:rPr>
          <w:rFonts w:ascii="Arial" w:hAnsi="Arial"/>
          <w:b/>
          <w:sz w:val="20"/>
          <w:szCs w:val="20"/>
        </w:rPr>
      </w:pPr>
    </w:p>
    <w:p w14:paraId="51E4209D" w14:textId="77777777" w:rsidR="005C25A8" w:rsidRDefault="005C25A8" w:rsidP="005C25A8">
      <w:pPr>
        <w:rPr>
          <w:rFonts w:ascii="Arial" w:hAnsi="Arial"/>
          <w:b/>
          <w:u w:val="single"/>
        </w:rPr>
      </w:pPr>
    </w:p>
    <w:p w14:paraId="37C412B5" w14:textId="77777777" w:rsidR="005C25A8" w:rsidRPr="001A3B24" w:rsidRDefault="005C25A8" w:rsidP="005C25A8">
      <w:pPr>
        <w:pStyle w:val="NoSpacing"/>
        <w:rPr>
          <w:rFonts w:ascii="Arial" w:hAnsi="Arial"/>
          <w:sz w:val="20"/>
          <w:szCs w:val="20"/>
        </w:rPr>
      </w:pPr>
      <w:r>
        <w:rPr>
          <w:rFonts w:ascii="Arial" w:hAnsi="Arial"/>
          <w:b/>
          <w:u w:val="single"/>
        </w:rPr>
        <w:t xml:space="preserve">MEETING NOTES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80E8444" w14:textId="77777777" w:rsidR="005C25A8" w:rsidRPr="001A3B24" w:rsidRDefault="005C25A8" w:rsidP="005C25A8">
      <w:pPr>
        <w:pStyle w:val="NoSpacing"/>
        <w:rPr>
          <w:rFonts w:ascii="Arial" w:hAnsi="Arial"/>
          <w:sz w:val="20"/>
          <w:szCs w:val="20"/>
        </w:rPr>
      </w:pPr>
    </w:p>
    <w:p w14:paraId="6111E921" w14:textId="07299073" w:rsidR="00696424" w:rsidRDefault="00696424" w:rsidP="00696424">
      <w:pPr>
        <w:pStyle w:val="NoSpacing"/>
        <w:rPr>
          <w:rFonts w:ascii="Arial" w:hAnsi="Arial"/>
          <w:b/>
          <w:sz w:val="20"/>
          <w:szCs w:val="20"/>
        </w:rPr>
      </w:pPr>
      <w:r>
        <w:rPr>
          <w:rFonts w:ascii="Arial" w:hAnsi="Arial"/>
          <w:b/>
          <w:sz w:val="20"/>
          <w:szCs w:val="20"/>
        </w:rPr>
        <w:t>The purpose of this meeting was to discuss and make decisions on the Ohio BoSCoC FY2017 CoC Competition project ranking and funding.</w:t>
      </w:r>
    </w:p>
    <w:p w14:paraId="3F134384" w14:textId="77777777" w:rsidR="00696424" w:rsidRDefault="00696424" w:rsidP="00DD28F1">
      <w:pPr>
        <w:pStyle w:val="NoSpacing"/>
        <w:rPr>
          <w:rFonts w:ascii="Arial" w:hAnsi="Arial"/>
          <w:b/>
          <w:sz w:val="20"/>
          <w:szCs w:val="20"/>
        </w:rPr>
      </w:pPr>
    </w:p>
    <w:p w14:paraId="74FE5292" w14:textId="739E4DD7" w:rsidR="00DD28F1" w:rsidRPr="001A3B24" w:rsidRDefault="00696424" w:rsidP="00DD28F1">
      <w:pPr>
        <w:pStyle w:val="NoSpacing"/>
        <w:rPr>
          <w:rFonts w:ascii="Arial" w:hAnsi="Arial"/>
          <w:b/>
          <w:sz w:val="20"/>
          <w:szCs w:val="20"/>
        </w:rPr>
      </w:pPr>
      <w:r>
        <w:rPr>
          <w:rFonts w:ascii="Arial" w:hAnsi="Arial"/>
          <w:b/>
          <w:sz w:val="20"/>
          <w:szCs w:val="20"/>
        </w:rPr>
        <w:t>Funding Availability, HUD Approach to Funding, Project Ranking Recomme</w:t>
      </w:r>
      <w:r w:rsidR="0008072C">
        <w:rPr>
          <w:rFonts w:ascii="Arial" w:hAnsi="Arial"/>
          <w:b/>
          <w:sz w:val="20"/>
          <w:szCs w:val="20"/>
        </w:rPr>
        <w:t>n</w:t>
      </w:r>
      <w:r>
        <w:rPr>
          <w:rFonts w:ascii="Arial" w:hAnsi="Arial"/>
          <w:b/>
          <w:sz w:val="20"/>
          <w:szCs w:val="20"/>
        </w:rPr>
        <w:t>dations</w:t>
      </w:r>
    </w:p>
    <w:p w14:paraId="5BB29C67" w14:textId="5E498EBD" w:rsidR="00DD28F1" w:rsidRDefault="00DD28F1" w:rsidP="00DD28F1">
      <w:pPr>
        <w:pStyle w:val="ListParagraph"/>
        <w:numPr>
          <w:ilvl w:val="0"/>
          <w:numId w:val="17"/>
        </w:numPr>
        <w:rPr>
          <w:rFonts w:ascii="Arial" w:hAnsi="Arial"/>
          <w:sz w:val="20"/>
          <w:szCs w:val="20"/>
        </w:rPr>
      </w:pPr>
      <w:r>
        <w:rPr>
          <w:rFonts w:ascii="Arial" w:hAnsi="Arial"/>
          <w:sz w:val="20"/>
          <w:szCs w:val="20"/>
        </w:rPr>
        <w:t xml:space="preserve">Erica presented the </w:t>
      </w:r>
      <w:r w:rsidRPr="00DD28F1">
        <w:rPr>
          <w:rFonts w:ascii="Arial" w:hAnsi="Arial"/>
          <w:i/>
          <w:sz w:val="20"/>
          <w:szCs w:val="20"/>
        </w:rPr>
        <w:t>FY17 CoC Competition: CoC Project Ranking Recommendations</w:t>
      </w:r>
      <w:r>
        <w:rPr>
          <w:rFonts w:ascii="Arial" w:hAnsi="Arial"/>
          <w:sz w:val="20"/>
          <w:szCs w:val="20"/>
        </w:rPr>
        <w:t xml:space="preserve"> document:</w:t>
      </w:r>
    </w:p>
    <w:p w14:paraId="166AA658" w14:textId="147C2B74" w:rsidR="009F78D4" w:rsidRDefault="009F78D4" w:rsidP="009F30D8">
      <w:pPr>
        <w:pStyle w:val="ListParagraph"/>
        <w:numPr>
          <w:ilvl w:val="0"/>
          <w:numId w:val="17"/>
        </w:numPr>
        <w:ind w:left="720"/>
        <w:rPr>
          <w:rFonts w:ascii="Arial" w:hAnsi="Arial"/>
          <w:sz w:val="20"/>
          <w:szCs w:val="20"/>
        </w:rPr>
      </w:pPr>
      <w:r>
        <w:rPr>
          <w:rFonts w:ascii="Arial" w:hAnsi="Arial"/>
          <w:sz w:val="20"/>
          <w:szCs w:val="20"/>
        </w:rPr>
        <w:t>Funding availability:</w:t>
      </w:r>
    </w:p>
    <w:p w14:paraId="57A2D88A" w14:textId="77777777" w:rsidR="009F78D4" w:rsidRPr="00AD5BD6" w:rsidRDefault="009F78D4" w:rsidP="009F30D8">
      <w:pPr>
        <w:pStyle w:val="ListParagraph"/>
        <w:numPr>
          <w:ilvl w:val="0"/>
          <w:numId w:val="17"/>
        </w:numPr>
        <w:ind w:left="1440"/>
        <w:rPr>
          <w:rFonts w:ascii="Arial" w:hAnsi="Arial"/>
          <w:sz w:val="20"/>
          <w:szCs w:val="20"/>
        </w:rPr>
      </w:pPr>
      <w:r w:rsidRPr="00AD5BD6">
        <w:rPr>
          <w:rFonts w:ascii="Arial" w:hAnsi="Arial"/>
          <w:sz w:val="20"/>
          <w:szCs w:val="20"/>
        </w:rPr>
        <w:t>Estimated ARD</w:t>
      </w:r>
      <w:r>
        <w:rPr>
          <w:rFonts w:ascii="Arial" w:hAnsi="Arial"/>
          <w:sz w:val="20"/>
          <w:szCs w:val="20"/>
        </w:rPr>
        <w:t xml:space="preserve"> as published by HUD</w:t>
      </w:r>
      <w:r w:rsidRPr="00AD5BD6">
        <w:rPr>
          <w:rFonts w:ascii="Arial" w:hAnsi="Arial"/>
          <w:sz w:val="20"/>
          <w:szCs w:val="20"/>
        </w:rPr>
        <w:t xml:space="preserve"> = $15,832,855</w:t>
      </w:r>
    </w:p>
    <w:p w14:paraId="22AC2EE3" w14:textId="1B1D3069" w:rsidR="009F78D4" w:rsidRDefault="009F78D4" w:rsidP="009F30D8">
      <w:pPr>
        <w:pStyle w:val="ListParagraph"/>
        <w:numPr>
          <w:ilvl w:val="0"/>
          <w:numId w:val="17"/>
        </w:numPr>
        <w:ind w:left="1440"/>
        <w:rPr>
          <w:rFonts w:ascii="Arial" w:hAnsi="Arial"/>
          <w:sz w:val="20"/>
          <w:szCs w:val="20"/>
        </w:rPr>
      </w:pPr>
      <w:r w:rsidRPr="00AD5BD6">
        <w:rPr>
          <w:rFonts w:ascii="Arial" w:hAnsi="Arial"/>
          <w:sz w:val="20"/>
          <w:szCs w:val="20"/>
        </w:rPr>
        <w:t>Tier 1 = $14,882,884</w:t>
      </w:r>
      <w:r>
        <w:rPr>
          <w:rFonts w:ascii="Arial" w:hAnsi="Arial"/>
          <w:sz w:val="20"/>
          <w:szCs w:val="20"/>
        </w:rPr>
        <w:t xml:space="preserve"> </w:t>
      </w:r>
    </w:p>
    <w:p w14:paraId="428F8192" w14:textId="729949ED" w:rsidR="009F78D4" w:rsidRPr="009F78D4" w:rsidRDefault="009F78D4" w:rsidP="009F30D8">
      <w:pPr>
        <w:pStyle w:val="ListParagraph"/>
        <w:numPr>
          <w:ilvl w:val="0"/>
          <w:numId w:val="17"/>
        </w:numPr>
        <w:ind w:left="1440"/>
        <w:rPr>
          <w:rFonts w:ascii="Arial" w:hAnsi="Arial"/>
          <w:sz w:val="20"/>
          <w:szCs w:val="20"/>
        </w:rPr>
      </w:pPr>
      <w:r>
        <w:rPr>
          <w:rFonts w:ascii="Arial" w:hAnsi="Arial"/>
          <w:sz w:val="20"/>
          <w:szCs w:val="20"/>
        </w:rPr>
        <w:t xml:space="preserve">Tier 2= $949,971 + </w:t>
      </w:r>
      <w:r w:rsidRPr="009F78D4">
        <w:rPr>
          <w:rFonts w:ascii="Arial" w:hAnsi="Arial"/>
          <w:sz w:val="20"/>
          <w:szCs w:val="20"/>
        </w:rPr>
        <w:t>PH Bonus = $952,185</w:t>
      </w:r>
      <w:r>
        <w:rPr>
          <w:rFonts w:ascii="Arial" w:hAnsi="Arial"/>
          <w:sz w:val="20"/>
          <w:szCs w:val="20"/>
        </w:rPr>
        <w:t>= $1,902,156 total</w:t>
      </w:r>
    </w:p>
    <w:p w14:paraId="6E2714E0" w14:textId="77777777" w:rsidR="00DD28F1" w:rsidRDefault="00DD28F1" w:rsidP="009F30D8">
      <w:pPr>
        <w:pStyle w:val="NoSpacing"/>
        <w:ind w:left="360"/>
        <w:rPr>
          <w:rFonts w:ascii="Arial" w:hAnsi="Arial"/>
          <w:b/>
          <w:sz w:val="20"/>
          <w:szCs w:val="20"/>
        </w:rPr>
      </w:pPr>
    </w:p>
    <w:p w14:paraId="43273B59" w14:textId="2811C2F6" w:rsidR="009F30D8" w:rsidRDefault="009F30D8" w:rsidP="009F30D8">
      <w:pPr>
        <w:pStyle w:val="ListParagraph"/>
        <w:numPr>
          <w:ilvl w:val="0"/>
          <w:numId w:val="29"/>
        </w:numPr>
        <w:ind w:left="720"/>
        <w:rPr>
          <w:rFonts w:ascii="Arial" w:hAnsi="Arial" w:cs="Arial"/>
          <w:sz w:val="20"/>
          <w:szCs w:val="20"/>
        </w:rPr>
      </w:pPr>
      <w:r>
        <w:rPr>
          <w:rFonts w:ascii="Arial" w:hAnsi="Arial" w:cs="Arial"/>
          <w:sz w:val="20"/>
          <w:szCs w:val="20"/>
        </w:rPr>
        <w:t>HUD will award a point value to each new and renewal project application using a 100 point scale</w:t>
      </w:r>
      <w:r w:rsidR="00066EDB">
        <w:rPr>
          <w:rFonts w:ascii="Arial" w:hAnsi="Arial" w:cs="Arial"/>
          <w:sz w:val="20"/>
          <w:szCs w:val="20"/>
        </w:rPr>
        <w:t>:</w:t>
      </w:r>
    </w:p>
    <w:p w14:paraId="531C8E76" w14:textId="77777777" w:rsidR="009F30D8" w:rsidRDefault="009F30D8" w:rsidP="009F30D8">
      <w:pPr>
        <w:pStyle w:val="ListParagraph"/>
        <w:numPr>
          <w:ilvl w:val="0"/>
          <w:numId w:val="30"/>
        </w:numPr>
        <w:rPr>
          <w:rFonts w:ascii="Arial" w:hAnsi="Arial" w:cs="Arial"/>
          <w:sz w:val="20"/>
          <w:szCs w:val="20"/>
        </w:rPr>
      </w:pPr>
      <w:r>
        <w:rPr>
          <w:rFonts w:ascii="Arial" w:hAnsi="Arial" w:cs="Arial"/>
          <w:sz w:val="20"/>
          <w:szCs w:val="20"/>
        </w:rPr>
        <w:t>50 points associated with CoC Application Score</w:t>
      </w:r>
    </w:p>
    <w:p w14:paraId="09922980" w14:textId="77777777" w:rsidR="009F30D8" w:rsidRDefault="009F30D8" w:rsidP="009F30D8">
      <w:pPr>
        <w:pStyle w:val="ListParagraph"/>
        <w:numPr>
          <w:ilvl w:val="0"/>
          <w:numId w:val="30"/>
        </w:numPr>
        <w:rPr>
          <w:rFonts w:ascii="Arial" w:hAnsi="Arial" w:cs="Arial"/>
          <w:sz w:val="20"/>
          <w:szCs w:val="20"/>
        </w:rPr>
      </w:pPr>
      <w:r>
        <w:rPr>
          <w:rFonts w:ascii="Arial" w:hAnsi="Arial" w:cs="Arial"/>
          <w:sz w:val="20"/>
          <w:szCs w:val="20"/>
        </w:rPr>
        <w:t xml:space="preserve">40 points based on CoC’s ranking of the project </w:t>
      </w:r>
    </w:p>
    <w:p w14:paraId="474EC4CD" w14:textId="77777777" w:rsidR="009F30D8" w:rsidRDefault="009F30D8" w:rsidP="009F30D8">
      <w:pPr>
        <w:pStyle w:val="ListParagraph"/>
        <w:numPr>
          <w:ilvl w:val="0"/>
          <w:numId w:val="30"/>
        </w:numPr>
        <w:rPr>
          <w:rFonts w:ascii="Arial" w:hAnsi="Arial" w:cs="Arial"/>
          <w:sz w:val="20"/>
          <w:szCs w:val="20"/>
        </w:rPr>
      </w:pPr>
      <w:r>
        <w:rPr>
          <w:rFonts w:ascii="Arial" w:hAnsi="Arial" w:cs="Arial"/>
          <w:sz w:val="20"/>
          <w:szCs w:val="20"/>
        </w:rPr>
        <w:lastRenderedPageBreak/>
        <w:t>10 points for being Housing First (regardless of project type)</w:t>
      </w:r>
    </w:p>
    <w:p w14:paraId="5AC29C33" w14:textId="77777777" w:rsidR="00751DB1" w:rsidRDefault="00751DB1" w:rsidP="00751DB1">
      <w:pPr>
        <w:pStyle w:val="NoSpacing"/>
        <w:rPr>
          <w:rFonts w:ascii="Arial" w:hAnsi="Arial"/>
          <w:b/>
          <w:sz w:val="20"/>
          <w:szCs w:val="20"/>
        </w:rPr>
      </w:pPr>
    </w:p>
    <w:p w14:paraId="524FD1C4" w14:textId="49D6F6FF" w:rsidR="00751DB1" w:rsidRPr="00AF2A70" w:rsidRDefault="00751DB1" w:rsidP="008A492B">
      <w:pPr>
        <w:pStyle w:val="NoSpacing"/>
        <w:numPr>
          <w:ilvl w:val="0"/>
          <w:numId w:val="21"/>
        </w:numPr>
        <w:rPr>
          <w:rFonts w:ascii="Arial" w:hAnsi="Arial"/>
          <w:sz w:val="20"/>
          <w:szCs w:val="20"/>
        </w:rPr>
      </w:pPr>
      <w:r w:rsidRPr="00AF2A70">
        <w:rPr>
          <w:rFonts w:ascii="Arial" w:hAnsi="Arial"/>
          <w:sz w:val="20"/>
          <w:szCs w:val="20"/>
        </w:rPr>
        <w:t>The</w:t>
      </w:r>
      <w:r>
        <w:rPr>
          <w:rFonts w:ascii="Arial" w:hAnsi="Arial"/>
          <w:sz w:val="20"/>
          <w:szCs w:val="20"/>
        </w:rPr>
        <w:t xml:space="preserve"> </w:t>
      </w:r>
      <w:r w:rsidR="00696424">
        <w:rPr>
          <w:rFonts w:ascii="Arial" w:hAnsi="Arial"/>
          <w:sz w:val="20"/>
          <w:szCs w:val="20"/>
        </w:rPr>
        <w:t>Project Evaluation C</w:t>
      </w:r>
      <w:r>
        <w:rPr>
          <w:rFonts w:ascii="Arial" w:hAnsi="Arial"/>
          <w:sz w:val="20"/>
          <w:szCs w:val="20"/>
        </w:rPr>
        <w:t>ommittee made the followi</w:t>
      </w:r>
      <w:r w:rsidR="00696424">
        <w:rPr>
          <w:rFonts w:ascii="Arial" w:hAnsi="Arial"/>
          <w:sz w:val="20"/>
          <w:szCs w:val="20"/>
        </w:rPr>
        <w:t>ng</w:t>
      </w:r>
      <w:r w:rsidR="0008072C">
        <w:rPr>
          <w:rFonts w:ascii="Arial" w:hAnsi="Arial"/>
          <w:sz w:val="20"/>
          <w:szCs w:val="20"/>
        </w:rPr>
        <w:t xml:space="preserve"> project ranking</w:t>
      </w:r>
      <w:r w:rsidR="00696424">
        <w:rPr>
          <w:rFonts w:ascii="Arial" w:hAnsi="Arial"/>
          <w:sz w:val="20"/>
          <w:szCs w:val="20"/>
        </w:rPr>
        <w:t xml:space="preserve"> deci</w:t>
      </w:r>
      <w:r w:rsidR="002E72C7">
        <w:rPr>
          <w:rFonts w:ascii="Arial" w:hAnsi="Arial"/>
          <w:sz w:val="20"/>
          <w:szCs w:val="20"/>
        </w:rPr>
        <w:t>sions and are recommending them</w:t>
      </w:r>
      <w:r w:rsidR="00696424">
        <w:rPr>
          <w:rFonts w:ascii="Arial" w:hAnsi="Arial"/>
          <w:sz w:val="20"/>
          <w:szCs w:val="20"/>
        </w:rPr>
        <w:t xml:space="preserve"> to the Board</w:t>
      </w:r>
      <w:r>
        <w:rPr>
          <w:rFonts w:ascii="Arial" w:hAnsi="Arial"/>
          <w:sz w:val="20"/>
          <w:szCs w:val="20"/>
        </w:rPr>
        <w:t>:</w:t>
      </w:r>
    </w:p>
    <w:p w14:paraId="5B2F2657" w14:textId="1A6BACE0" w:rsidR="00751DB1" w:rsidRPr="00AF2A70" w:rsidRDefault="00751DB1" w:rsidP="008A492B">
      <w:pPr>
        <w:pStyle w:val="ListParagraph"/>
        <w:numPr>
          <w:ilvl w:val="1"/>
          <w:numId w:val="22"/>
        </w:numPr>
        <w:rPr>
          <w:rFonts w:ascii="Arial" w:hAnsi="Arial" w:cs="Arial"/>
          <w:sz w:val="20"/>
          <w:szCs w:val="20"/>
        </w:rPr>
      </w:pPr>
      <w:r w:rsidRPr="00AF2A70">
        <w:rPr>
          <w:rFonts w:ascii="Arial" w:hAnsi="Arial" w:cs="Arial"/>
          <w:sz w:val="20"/>
          <w:szCs w:val="20"/>
        </w:rPr>
        <w:t>5 first time renewals that haven’t begun operation</w:t>
      </w:r>
      <w:r w:rsidR="0008072C">
        <w:rPr>
          <w:rFonts w:ascii="Arial" w:hAnsi="Arial" w:cs="Arial"/>
          <w:sz w:val="20"/>
          <w:szCs w:val="20"/>
        </w:rPr>
        <w:t xml:space="preserve"> (WSOS/PSH Expansion, ADAMH Board of Tuscarawas/Recovery Begins at Home, Integrated Community Enterprises/Charles Place, VOA of Greater Ohio/Almost Home Region 3, Licking County Coalit</w:t>
      </w:r>
      <w:r w:rsidR="00725EA6">
        <w:rPr>
          <w:rFonts w:ascii="Arial" w:hAnsi="Arial" w:cs="Arial"/>
          <w:sz w:val="20"/>
          <w:szCs w:val="20"/>
        </w:rPr>
        <w:t>ion for Housing/LCCH Rapid Re-Housing</w:t>
      </w:r>
      <w:r w:rsidR="0008072C">
        <w:rPr>
          <w:rFonts w:ascii="Arial" w:hAnsi="Arial" w:cs="Arial"/>
          <w:sz w:val="20"/>
          <w:szCs w:val="20"/>
        </w:rPr>
        <w:t>)</w:t>
      </w:r>
      <w:r>
        <w:rPr>
          <w:rFonts w:ascii="Arial" w:hAnsi="Arial" w:cs="Arial"/>
          <w:sz w:val="20"/>
          <w:szCs w:val="20"/>
        </w:rPr>
        <w:t>:</w:t>
      </w:r>
    </w:p>
    <w:p w14:paraId="3ADEC527" w14:textId="1F4C205B" w:rsidR="00751DB1" w:rsidRPr="00AF2A70" w:rsidRDefault="00520412" w:rsidP="008A492B">
      <w:pPr>
        <w:pStyle w:val="ListParagraph"/>
        <w:numPr>
          <w:ilvl w:val="2"/>
          <w:numId w:val="23"/>
        </w:numPr>
        <w:rPr>
          <w:rFonts w:ascii="Arial" w:hAnsi="Arial" w:cs="Arial"/>
          <w:sz w:val="20"/>
          <w:szCs w:val="20"/>
        </w:rPr>
      </w:pPr>
      <w:r>
        <w:rPr>
          <w:rFonts w:ascii="Arial" w:hAnsi="Arial" w:cs="Arial"/>
          <w:sz w:val="20"/>
          <w:szCs w:val="20"/>
        </w:rPr>
        <w:t>Committee recommendation</w:t>
      </w:r>
      <w:r w:rsidR="00751DB1">
        <w:rPr>
          <w:rFonts w:ascii="Arial" w:hAnsi="Arial" w:cs="Arial"/>
          <w:sz w:val="20"/>
          <w:szCs w:val="20"/>
        </w:rPr>
        <w:t>: rank at the</w:t>
      </w:r>
      <w:r w:rsidR="00751DB1" w:rsidRPr="00AF2A70">
        <w:rPr>
          <w:rFonts w:ascii="Arial" w:hAnsi="Arial" w:cs="Arial"/>
          <w:sz w:val="20"/>
          <w:szCs w:val="20"/>
        </w:rPr>
        <w:t xml:space="preserve"> top of Tier 1</w:t>
      </w:r>
      <w:r>
        <w:rPr>
          <w:rFonts w:ascii="Arial" w:hAnsi="Arial" w:cs="Arial"/>
          <w:sz w:val="20"/>
          <w:szCs w:val="20"/>
        </w:rPr>
        <w:t xml:space="preserve"> (in alphabetical order)</w:t>
      </w:r>
    </w:p>
    <w:p w14:paraId="0F3E3214" w14:textId="4682181A" w:rsidR="00751DB1" w:rsidRPr="00AF2A70" w:rsidRDefault="00751DB1" w:rsidP="008A492B">
      <w:pPr>
        <w:pStyle w:val="ListParagraph"/>
        <w:numPr>
          <w:ilvl w:val="1"/>
          <w:numId w:val="22"/>
        </w:numPr>
        <w:rPr>
          <w:rFonts w:ascii="Arial" w:hAnsi="Arial" w:cs="Arial"/>
          <w:sz w:val="20"/>
          <w:szCs w:val="20"/>
        </w:rPr>
      </w:pPr>
      <w:r w:rsidRPr="00AF2A70">
        <w:rPr>
          <w:rFonts w:ascii="Arial" w:hAnsi="Arial" w:cs="Arial"/>
          <w:sz w:val="20"/>
          <w:szCs w:val="20"/>
        </w:rPr>
        <w:t>2 conversion/reallocation projects</w:t>
      </w:r>
      <w:r w:rsidR="00520412">
        <w:rPr>
          <w:rFonts w:ascii="Arial" w:hAnsi="Arial" w:cs="Arial"/>
          <w:sz w:val="20"/>
          <w:szCs w:val="20"/>
        </w:rPr>
        <w:t xml:space="preserve"> (WSOS and CAC of Fayette County)</w:t>
      </w:r>
      <w:r>
        <w:rPr>
          <w:rFonts w:ascii="Arial" w:hAnsi="Arial" w:cs="Arial"/>
          <w:sz w:val="20"/>
          <w:szCs w:val="20"/>
        </w:rPr>
        <w:t>:</w:t>
      </w:r>
    </w:p>
    <w:p w14:paraId="6013D2A0" w14:textId="6070064F" w:rsidR="00751DB1" w:rsidRPr="00AF2A70" w:rsidRDefault="00751DB1" w:rsidP="008A492B">
      <w:pPr>
        <w:pStyle w:val="ListParagraph"/>
        <w:numPr>
          <w:ilvl w:val="2"/>
          <w:numId w:val="24"/>
        </w:numPr>
        <w:rPr>
          <w:rFonts w:ascii="Arial" w:hAnsi="Arial" w:cs="Arial"/>
          <w:sz w:val="20"/>
          <w:szCs w:val="20"/>
        </w:rPr>
      </w:pPr>
      <w:r w:rsidRPr="00AF2A70">
        <w:rPr>
          <w:rFonts w:ascii="Arial" w:hAnsi="Arial" w:cs="Arial"/>
          <w:sz w:val="20"/>
          <w:szCs w:val="20"/>
        </w:rPr>
        <w:t>C</w:t>
      </w:r>
      <w:r>
        <w:rPr>
          <w:rFonts w:ascii="Arial" w:hAnsi="Arial" w:cs="Arial"/>
          <w:sz w:val="20"/>
          <w:szCs w:val="20"/>
        </w:rPr>
        <w:t xml:space="preserve">ommittee </w:t>
      </w:r>
      <w:r w:rsidR="00520412">
        <w:rPr>
          <w:rFonts w:ascii="Arial" w:hAnsi="Arial" w:cs="Arial"/>
          <w:sz w:val="20"/>
          <w:szCs w:val="20"/>
        </w:rPr>
        <w:t>recommendation</w:t>
      </w:r>
      <w:r>
        <w:rPr>
          <w:rFonts w:ascii="Arial" w:hAnsi="Arial" w:cs="Arial"/>
          <w:sz w:val="20"/>
          <w:szCs w:val="20"/>
        </w:rPr>
        <w:t>:</w:t>
      </w:r>
      <w:r w:rsidRPr="00AF2A70">
        <w:rPr>
          <w:rFonts w:ascii="Arial" w:hAnsi="Arial" w:cs="Arial"/>
          <w:sz w:val="20"/>
          <w:szCs w:val="20"/>
        </w:rPr>
        <w:t xml:space="preserve"> rank at the bottom of Tier 1</w:t>
      </w:r>
      <w:r w:rsidR="00520412">
        <w:rPr>
          <w:rFonts w:ascii="Arial" w:hAnsi="Arial" w:cs="Arial"/>
          <w:sz w:val="20"/>
          <w:szCs w:val="20"/>
        </w:rPr>
        <w:t xml:space="preserve"> (in alphabetical order)</w:t>
      </w:r>
    </w:p>
    <w:p w14:paraId="73842827" w14:textId="49481327" w:rsidR="00751DB1" w:rsidRPr="00AF2A70" w:rsidRDefault="00751DB1" w:rsidP="008A492B">
      <w:pPr>
        <w:pStyle w:val="ListParagraph"/>
        <w:numPr>
          <w:ilvl w:val="1"/>
          <w:numId w:val="22"/>
        </w:numPr>
        <w:rPr>
          <w:rFonts w:ascii="Arial" w:hAnsi="Arial" w:cs="Arial"/>
          <w:sz w:val="20"/>
          <w:szCs w:val="20"/>
        </w:rPr>
      </w:pPr>
      <w:r w:rsidRPr="00AF2A70">
        <w:rPr>
          <w:rFonts w:ascii="Arial" w:hAnsi="Arial" w:cs="Arial"/>
          <w:sz w:val="20"/>
          <w:szCs w:val="20"/>
        </w:rPr>
        <w:t>2 consolidated PSH grants</w:t>
      </w:r>
      <w:r w:rsidR="00696424">
        <w:rPr>
          <w:rFonts w:ascii="Arial" w:hAnsi="Arial" w:cs="Arial"/>
          <w:sz w:val="20"/>
          <w:szCs w:val="20"/>
        </w:rPr>
        <w:t xml:space="preserve"> (Portage MHA and Warren MHA)</w:t>
      </w:r>
      <w:r>
        <w:rPr>
          <w:rFonts w:ascii="Arial" w:hAnsi="Arial" w:cs="Arial"/>
          <w:sz w:val="20"/>
          <w:szCs w:val="20"/>
        </w:rPr>
        <w:t>:</w:t>
      </w:r>
    </w:p>
    <w:p w14:paraId="30054CD1" w14:textId="01B898DC" w:rsidR="00751DB1" w:rsidRDefault="00751DB1" w:rsidP="008A492B">
      <w:pPr>
        <w:pStyle w:val="ListParagraph"/>
        <w:numPr>
          <w:ilvl w:val="2"/>
          <w:numId w:val="25"/>
        </w:numPr>
        <w:rPr>
          <w:rFonts w:ascii="Arial" w:hAnsi="Arial" w:cs="Arial"/>
          <w:sz w:val="20"/>
          <w:szCs w:val="20"/>
        </w:rPr>
      </w:pPr>
      <w:r w:rsidRPr="00AF2A70">
        <w:rPr>
          <w:rFonts w:ascii="Arial" w:hAnsi="Arial" w:cs="Arial"/>
          <w:sz w:val="20"/>
          <w:szCs w:val="20"/>
        </w:rPr>
        <w:t>C</w:t>
      </w:r>
      <w:r>
        <w:rPr>
          <w:rFonts w:ascii="Arial" w:hAnsi="Arial" w:cs="Arial"/>
          <w:sz w:val="20"/>
          <w:szCs w:val="20"/>
        </w:rPr>
        <w:t xml:space="preserve">ommittee </w:t>
      </w:r>
      <w:r w:rsidR="00520412">
        <w:rPr>
          <w:rFonts w:ascii="Arial" w:hAnsi="Arial" w:cs="Arial"/>
          <w:sz w:val="20"/>
          <w:szCs w:val="20"/>
        </w:rPr>
        <w:t>recommendation</w:t>
      </w:r>
      <w:r>
        <w:rPr>
          <w:rFonts w:ascii="Arial" w:hAnsi="Arial" w:cs="Arial"/>
          <w:sz w:val="20"/>
          <w:szCs w:val="20"/>
        </w:rPr>
        <w:t>:</w:t>
      </w:r>
      <w:r w:rsidRPr="00AF2A70">
        <w:rPr>
          <w:rFonts w:ascii="Arial" w:hAnsi="Arial" w:cs="Arial"/>
          <w:sz w:val="20"/>
          <w:szCs w:val="20"/>
        </w:rPr>
        <w:t xml:space="preserve"> rank each combined grant at a position that reflects a ranking exactly in between the higher and lower ranking projects prior to consolidating</w:t>
      </w:r>
      <w:r w:rsidR="00696424">
        <w:rPr>
          <w:rFonts w:ascii="Arial" w:hAnsi="Arial" w:cs="Arial"/>
          <w:sz w:val="20"/>
          <w:szCs w:val="20"/>
        </w:rPr>
        <w:t>:</w:t>
      </w:r>
    </w:p>
    <w:p w14:paraId="6D13A2D2" w14:textId="2BCEB313" w:rsidR="00696424" w:rsidRDefault="00696424" w:rsidP="008A492B">
      <w:pPr>
        <w:pStyle w:val="ListParagraph"/>
        <w:numPr>
          <w:ilvl w:val="3"/>
          <w:numId w:val="25"/>
        </w:numPr>
        <w:rPr>
          <w:rFonts w:ascii="Arial" w:hAnsi="Arial" w:cs="Arial"/>
          <w:sz w:val="20"/>
          <w:szCs w:val="20"/>
        </w:rPr>
      </w:pPr>
      <w:r>
        <w:rPr>
          <w:rFonts w:ascii="Arial" w:hAnsi="Arial" w:cs="Arial"/>
          <w:sz w:val="20"/>
          <w:szCs w:val="20"/>
        </w:rPr>
        <w:t>Portage MHA= #11</w:t>
      </w:r>
    </w:p>
    <w:p w14:paraId="12B45933" w14:textId="33B8A690" w:rsidR="00696424" w:rsidRPr="00AF2A70" w:rsidRDefault="00696424" w:rsidP="008A492B">
      <w:pPr>
        <w:pStyle w:val="ListParagraph"/>
        <w:numPr>
          <w:ilvl w:val="3"/>
          <w:numId w:val="25"/>
        </w:numPr>
        <w:rPr>
          <w:rFonts w:ascii="Arial" w:hAnsi="Arial" w:cs="Arial"/>
          <w:sz w:val="20"/>
          <w:szCs w:val="20"/>
        </w:rPr>
      </w:pPr>
      <w:r>
        <w:rPr>
          <w:rFonts w:ascii="Arial" w:hAnsi="Arial" w:cs="Arial"/>
          <w:sz w:val="20"/>
          <w:szCs w:val="20"/>
        </w:rPr>
        <w:t>Warren MHA= #69</w:t>
      </w:r>
    </w:p>
    <w:p w14:paraId="5660B016" w14:textId="77777777" w:rsidR="00751DB1" w:rsidRPr="00AF2A70" w:rsidRDefault="00751DB1" w:rsidP="008A492B">
      <w:pPr>
        <w:pStyle w:val="ListParagraph"/>
        <w:numPr>
          <w:ilvl w:val="1"/>
          <w:numId w:val="22"/>
        </w:numPr>
        <w:rPr>
          <w:rFonts w:ascii="Arial" w:hAnsi="Arial" w:cs="Arial"/>
          <w:sz w:val="20"/>
          <w:szCs w:val="20"/>
        </w:rPr>
      </w:pPr>
      <w:r w:rsidRPr="00AF2A70">
        <w:rPr>
          <w:rFonts w:ascii="Arial" w:hAnsi="Arial" w:cs="Arial"/>
          <w:sz w:val="20"/>
          <w:szCs w:val="20"/>
        </w:rPr>
        <w:t>1 HMIS renewal project</w:t>
      </w:r>
    </w:p>
    <w:p w14:paraId="565024BE" w14:textId="14531245" w:rsidR="00751DB1" w:rsidRPr="00AF2A70" w:rsidRDefault="00751DB1" w:rsidP="008A492B">
      <w:pPr>
        <w:pStyle w:val="ListParagraph"/>
        <w:numPr>
          <w:ilvl w:val="2"/>
          <w:numId w:val="26"/>
        </w:numPr>
        <w:rPr>
          <w:rFonts w:ascii="Arial" w:hAnsi="Arial" w:cs="Arial"/>
          <w:sz w:val="20"/>
          <w:szCs w:val="20"/>
        </w:rPr>
      </w:pPr>
      <w:r w:rsidRPr="00AF2A70">
        <w:rPr>
          <w:rFonts w:ascii="Arial" w:hAnsi="Arial" w:cs="Arial"/>
          <w:sz w:val="20"/>
          <w:szCs w:val="20"/>
        </w:rPr>
        <w:t>C</w:t>
      </w:r>
      <w:r>
        <w:rPr>
          <w:rFonts w:ascii="Arial" w:hAnsi="Arial" w:cs="Arial"/>
          <w:sz w:val="20"/>
          <w:szCs w:val="20"/>
        </w:rPr>
        <w:t xml:space="preserve">ommittee </w:t>
      </w:r>
      <w:r w:rsidR="000942FA">
        <w:rPr>
          <w:rFonts w:ascii="Arial" w:hAnsi="Arial" w:cs="Arial"/>
          <w:sz w:val="20"/>
          <w:szCs w:val="20"/>
        </w:rPr>
        <w:t>recommendation</w:t>
      </w:r>
      <w:r>
        <w:rPr>
          <w:rFonts w:ascii="Arial" w:hAnsi="Arial" w:cs="Arial"/>
          <w:sz w:val="20"/>
          <w:szCs w:val="20"/>
        </w:rPr>
        <w:t>:</w:t>
      </w:r>
      <w:r w:rsidRPr="00AF2A70">
        <w:rPr>
          <w:rFonts w:ascii="Arial" w:hAnsi="Arial" w:cs="Arial"/>
          <w:sz w:val="20"/>
          <w:szCs w:val="20"/>
        </w:rPr>
        <w:t xml:space="preserve"> rank at the bottom of Tier 1 (below conversions)</w:t>
      </w:r>
    </w:p>
    <w:p w14:paraId="5B9E6450" w14:textId="152C49F6" w:rsidR="00751DB1" w:rsidRPr="00AF2A70" w:rsidRDefault="00751DB1" w:rsidP="008A492B">
      <w:pPr>
        <w:pStyle w:val="ListParagraph"/>
        <w:numPr>
          <w:ilvl w:val="1"/>
          <w:numId w:val="22"/>
        </w:numPr>
        <w:rPr>
          <w:rFonts w:ascii="Arial" w:hAnsi="Arial" w:cs="Arial"/>
          <w:sz w:val="20"/>
          <w:szCs w:val="20"/>
        </w:rPr>
      </w:pPr>
      <w:r w:rsidRPr="00AF2A70">
        <w:rPr>
          <w:rFonts w:ascii="Arial" w:hAnsi="Arial" w:cs="Arial"/>
          <w:sz w:val="20"/>
          <w:szCs w:val="20"/>
        </w:rPr>
        <w:t>1 new PH Bonus project (</w:t>
      </w:r>
      <w:r w:rsidR="00C7529A">
        <w:rPr>
          <w:rFonts w:ascii="Arial" w:hAnsi="Arial" w:cs="Arial"/>
          <w:sz w:val="20"/>
          <w:szCs w:val="20"/>
        </w:rPr>
        <w:t xml:space="preserve">Ohio </w:t>
      </w:r>
      <w:r w:rsidR="00240227">
        <w:rPr>
          <w:rFonts w:ascii="Arial" w:hAnsi="Arial" w:cs="Arial"/>
          <w:sz w:val="20"/>
          <w:szCs w:val="20"/>
        </w:rPr>
        <w:t xml:space="preserve">BoSCoC </w:t>
      </w:r>
      <w:r w:rsidR="00C7529A">
        <w:rPr>
          <w:rFonts w:ascii="Arial" w:hAnsi="Arial" w:cs="Arial"/>
          <w:sz w:val="20"/>
          <w:szCs w:val="20"/>
        </w:rPr>
        <w:t>Rapid Re-Housing</w:t>
      </w:r>
      <w:r w:rsidRPr="00AF2A70">
        <w:rPr>
          <w:rFonts w:ascii="Arial" w:hAnsi="Arial" w:cs="Arial"/>
          <w:sz w:val="20"/>
          <w:szCs w:val="20"/>
        </w:rPr>
        <w:t>)</w:t>
      </w:r>
    </w:p>
    <w:p w14:paraId="667B425A" w14:textId="143D78A8" w:rsidR="00751DB1" w:rsidRDefault="00751DB1" w:rsidP="008A492B">
      <w:pPr>
        <w:pStyle w:val="ListParagraph"/>
        <w:numPr>
          <w:ilvl w:val="2"/>
          <w:numId w:val="27"/>
        </w:numPr>
        <w:rPr>
          <w:rFonts w:ascii="Arial" w:hAnsi="Arial" w:cs="Arial"/>
          <w:sz w:val="20"/>
          <w:szCs w:val="20"/>
        </w:rPr>
      </w:pPr>
      <w:r w:rsidRPr="00AF2A70">
        <w:rPr>
          <w:rFonts w:ascii="Arial" w:hAnsi="Arial" w:cs="Arial"/>
          <w:sz w:val="20"/>
          <w:szCs w:val="20"/>
        </w:rPr>
        <w:t>C</w:t>
      </w:r>
      <w:r>
        <w:rPr>
          <w:rFonts w:ascii="Arial" w:hAnsi="Arial" w:cs="Arial"/>
          <w:sz w:val="20"/>
          <w:szCs w:val="20"/>
        </w:rPr>
        <w:t xml:space="preserve">ommittee </w:t>
      </w:r>
      <w:r w:rsidR="000942FA">
        <w:rPr>
          <w:rFonts w:ascii="Arial" w:hAnsi="Arial" w:cs="Arial"/>
          <w:sz w:val="20"/>
          <w:szCs w:val="20"/>
        </w:rPr>
        <w:t>recommendation</w:t>
      </w:r>
      <w:r>
        <w:rPr>
          <w:rFonts w:ascii="Arial" w:hAnsi="Arial" w:cs="Arial"/>
          <w:sz w:val="20"/>
          <w:szCs w:val="20"/>
        </w:rPr>
        <w:t>:</w:t>
      </w:r>
      <w:r w:rsidRPr="00AF2A70">
        <w:rPr>
          <w:rFonts w:ascii="Arial" w:hAnsi="Arial" w:cs="Arial"/>
          <w:sz w:val="20"/>
          <w:szCs w:val="20"/>
        </w:rPr>
        <w:t xml:space="preserve"> rank at the bottom of Tier 2</w:t>
      </w:r>
    </w:p>
    <w:p w14:paraId="0900D665" w14:textId="65744A1F" w:rsidR="00100B0F" w:rsidRPr="00302F2A" w:rsidRDefault="00100B0F" w:rsidP="00100B0F">
      <w:pPr>
        <w:pStyle w:val="NoSpacing"/>
        <w:numPr>
          <w:ilvl w:val="0"/>
          <w:numId w:val="27"/>
        </w:numPr>
        <w:rPr>
          <w:rFonts w:ascii="Arial" w:hAnsi="Arial" w:cs="Arial"/>
          <w:sz w:val="20"/>
          <w:szCs w:val="20"/>
        </w:rPr>
      </w:pPr>
      <w:r w:rsidRPr="00302F2A">
        <w:rPr>
          <w:rFonts w:ascii="Arial" w:hAnsi="Arial"/>
          <w:sz w:val="20"/>
          <w:szCs w:val="20"/>
        </w:rPr>
        <w:t xml:space="preserve">Erica requested that the Board approve the </w:t>
      </w:r>
      <w:r w:rsidRPr="00100B0F">
        <w:rPr>
          <w:rFonts w:ascii="Arial" w:hAnsi="Arial"/>
          <w:sz w:val="20"/>
          <w:szCs w:val="20"/>
        </w:rPr>
        <w:t xml:space="preserve">Ohio BoSCoC </w:t>
      </w:r>
      <w:r w:rsidRPr="00100B0F">
        <w:rPr>
          <w:rFonts w:ascii="Arial" w:hAnsi="Arial"/>
          <w:sz w:val="20"/>
          <w:szCs w:val="20"/>
        </w:rPr>
        <w:t xml:space="preserve">FY2017 CoC Competition </w:t>
      </w:r>
      <w:r>
        <w:rPr>
          <w:rFonts w:ascii="Arial" w:hAnsi="Arial"/>
          <w:sz w:val="20"/>
          <w:szCs w:val="20"/>
        </w:rPr>
        <w:t xml:space="preserve">project </w:t>
      </w:r>
      <w:r w:rsidRPr="00100B0F">
        <w:rPr>
          <w:rFonts w:ascii="Arial" w:hAnsi="Arial"/>
          <w:sz w:val="20"/>
          <w:szCs w:val="20"/>
        </w:rPr>
        <w:t>ranking</w:t>
      </w:r>
      <w:r>
        <w:rPr>
          <w:rFonts w:ascii="Arial" w:hAnsi="Arial"/>
          <w:sz w:val="20"/>
          <w:szCs w:val="20"/>
        </w:rPr>
        <w:t xml:space="preserve"> as recommended by the Project Evaluation Committee and noted above</w:t>
      </w:r>
      <w:r w:rsidRPr="00100B0F">
        <w:rPr>
          <w:rFonts w:ascii="Arial" w:hAnsi="Arial"/>
          <w:sz w:val="20"/>
          <w:szCs w:val="20"/>
        </w:rPr>
        <w:t>:</w:t>
      </w:r>
    </w:p>
    <w:p w14:paraId="002D9DFD" w14:textId="2F32AE4A" w:rsidR="00100B0F" w:rsidRDefault="00100B0F" w:rsidP="00100B0F">
      <w:pPr>
        <w:pStyle w:val="NoSpacing"/>
        <w:numPr>
          <w:ilvl w:val="1"/>
          <w:numId w:val="27"/>
        </w:numPr>
        <w:rPr>
          <w:rFonts w:ascii="Arial" w:hAnsi="Arial"/>
          <w:sz w:val="20"/>
          <w:szCs w:val="20"/>
        </w:rPr>
      </w:pPr>
      <w:r>
        <w:rPr>
          <w:rFonts w:ascii="Arial" w:hAnsi="Arial"/>
          <w:sz w:val="20"/>
          <w:szCs w:val="20"/>
        </w:rPr>
        <w:t>Heather Thabet</w:t>
      </w:r>
      <w:r w:rsidRPr="008A3F26">
        <w:rPr>
          <w:rFonts w:ascii="Arial" w:hAnsi="Arial"/>
          <w:sz w:val="20"/>
          <w:szCs w:val="20"/>
        </w:rPr>
        <w:t xml:space="preserve"> made a motion to approve the </w:t>
      </w:r>
      <w:r w:rsidRPr="00100B0F">
        <w:rPr>
          <w:rFonts w:ascii="Arial" w:hAnsi="Arial"/>
          <w:sz w:val="20"/>
          <w:szCs w:val="20"/>
        </w:rPr>
        <w:t>project ranking</w:t>
      </w:r>
      <w:r w:rsidRPr="00100B0F">
        <w:rPr>
          <w:rFonts w:ascii="Arial" w:hAnsi="Arial"/>
          <w:sz w:val="20"/>
          <w:szCs w:val="20"/>
        </w:rPr>
        <w:t>;</w:t>
      </w:r>
      <w:r w:rsidRPr="008A3F26">
        <w:rPr>
          <w:rFonts w:ascii="Arial" w:hAnsi="Arial"/>
          <w:sz w:val="20"/>
          <w:szCs w:val="20"/>
        </w:rPr>
        <w:t xml:space="preserve"> </w:t>
      </w:r>
      <w:r>
        <w:rPr>
          <w:rFonts w:ascii="Arial" w:hAnsi="Arial"/>
          <w:sz w:val="20"/>
          <w:szCs w:val="20"/>
        </w:rPr>
        <w:t>Marti Grimm</w:t>
      </w:r>
      <w:r w:rsidRPr="008A3F26">
        <w:rPr>
          <w:rFonts w:ascii="Arial" w:hAnsi="Arial"/>
          <w:sz w:val="20"/>
          <w:szCs w:val="20"/>
        </w:rPr>
        <w:t xml:space="preserve"> s</w:t>
      </w:r>
      <w:r>
        <w:rPr>
          <w:rFonts w:ascii="Arial" w:hAnsi="Arial"/>
          <w:sz w:val="20"/>
          <w:szCs w:val="20"/>
        </w:rPr>
        <w:t xml:space="preserve">econded the motion. </w:t>
      </w:r>
    </w:p>
    <w:p w14:paraId="7112AD58" w14:textId="043670EC" w:rsidR="00100B0F" w:rsidRPr="00383C62" w:rsidRDefault="00100B0F" w:rsidP="00100B0F">
      <w:pPr>
        <w:pStyle w:val="NoSpacing"/>
        <w:numPr>
          <w:ilvl w:val="1"/>
          <w:numId w:val="27"/>
        </w:numPr>
        <w:rPr>
          <w:rFonts w:ascii="Arial" w:hAnsi="Arial"/>
          <w:sz w:val="20"/>
          <w:szCs w:val="20"/>
        </w:rPr>
      </w:pPr>
      <w:r>
        <w:rPr>
          <w:rFonts w:ascii="Arial" w:hAnsi="Arial"/>
          <w:sz w:val="20"/>
          <w:szCs w:val="20"/>
        </w:rPr>
        <w:t>Vote: 4 for, 0 opposed, 13</w:t>
      </w:r>
      <w:r>
        <w:rPr>
          <w:rFonts w:ascii="Arial" w:hAnsi="Arial"/>
          <w:sz w:val="20"/>
          <w:szCs w:val="20"/>
        </w:rPr>
        <w:t xml:space="preserve"> abstained</w:t>
      </w:r>
    </w:p>
    <w:p w14:paraId="486AF349" w14:textId="77777777" w:rsidR="008C1921" w:rsidRDefault="008C1921" w:rsidP="00901572">
      <w:pPr>
        <w:rPr>
          <w:rFonts w:ascii="Arial" w:hAnsi="Arial" w:cs="Arial"/>
          <w:sz w:val="20"/>
          <w:szCs w:val="20"/>
        </w:rPr>
      </w:pPr>
      <w:bookmarkStart w:id="0" w:name="_GoBack"/>
      <w:bookmarkEnd w:id="0"/>
    </w:p>
    <w:p w14:paraId="4938106F" w14:textId="3716C3B6" w:rsidR="006F516E" w:rsidRPr="008C1921" w:rsidRDefault="006F516E" w:rsidP="006F516E">
      <w:pPr>
        <w:rPr>
          <w:rFonts w:ascii="Arial" w:hAnsi="Arial" w:cs="Arial"/>
          <w:b/>
          <w:sz w:val="20"/>
          <w:szCs w:val="20"/>
        </w:rPr>
      </w:pPr>
      <w:r>
        <w:rPr>
          <w:rFonts w:ascii="Arial" w:hAnsi="Arial" w:cs="Arial"/>
          <w:b/>
          <w:sz w:val="20"/>
          <w:szCs w:val="20"/>
        </w:rPr>
        <w:t>Other Considerations</w:t>
      </w:r>
    </w:p>
    <w:p w14:paraId="34840EC9" w14:textId="6F1E2C81" w:rsidR="006F516E" w:rsidRDefault="002F5C93" w:rsidP="006F516E">
      <w:pPr>
        <w:rPr>
          <w:rFonts w:ascii="Arial" w:hAnsi="Arial" w:cs="Arial"/>
          <w:sz w:val="20"/>
          <w:szCs w:val="20"/>
        </w:rPr>
      </w:pPr>
      <w:r>
        <w:rPr>
          <w:rFonts w:ascii="Arial" w:hAnsi="Arial" w:cs="Arial"/>
          <w:sz w:val="20"/>
          <w:szCs w:val="20"/>
        </w:rPr>
        <w:t>Earlier this year t</w:t>
      </w:r>
      <w:r w:rsidR="006F516E">
        <w:rPr>
          <w:rFonts w:ascii="Arial" w:hAnsi="Arial" w:cs="Arial"/>
          <w:sz w:val="20"/>
          <w:szCs w:val="20"/>
        </w:rPr>
        <w:t>he CoC gave their support to a LIHTC project in Butler County</w:t>
      </w:r>
      <w:r>
        <w:rPr>
          <w:rFonts w:ascii="Arial" w:hAnsi="Arial" w:cs="Arial"/>
          <w:sz w:val="20"/>
          <w:szCs w:val="20"/>
        </w:rPr>
        <w:t xml:space="preserve"> with the understanding that they would apply for rental assistance through the CoC competition process.</w:t>
      </w:r>
      <w:r w:rsidR="0008072C">
        <w:rPr>
          <w:rFonts w:ascii="Arial" w:hAnsi="Arial" w:cs="Arial"/>
          <w:sz w:val="20"/>
          <w:szCs w:val="20"/>
        </w:rPr>
        <w:t xml:space="preserve">  Erica spoke with the project developer last week and determined that they will not need to apply for funding in this year’s competition.</w:t>
      </w:r>
    </w:p>
    <w:p w14:paraId="6477FA27" w14:textId="77777777" w:rsidR="006F516E" w:rsidRDefault="006F516E" w:rsidP="006F516E">
      <w:pPr>
        <w:rPr>
          <w:rFonts w:ascii="Arial" w:hAnsi="Arial" w:cs="Arial"/>
          <w:sz w:val="20"/>
          <w:szCs w:val="20"/>
        </w:rPr>
      </w:pPr>
    </w:p>
    <w:p w14:paraId="4A040B70" w14:textId="2BC06CBF" w:rsidR="008C1921" w:rsidRPr="008C1921" w:rsidRDefault="008C1921" w:rsidP="00901572">
      <w:pPr>
        <w:rPr>
          <w:rFonts w:ascii="Arial" w:hAnsi="Arial" w:cs="Arial"/>
          <w:b/>
          <w:sz w:val="20"/>
          <w:szCs w:val="20"/>
        </w:rPr>
      </w:pPr>
      <w:r w:rsidRPr="008C1921">
        <w:rPr>
          <w:rFonts w:ascii="Arial" w:hAnsi="Arial" w:cs="Arial"/>
          <w:b/>
          <w:sz w:val="20"/>
          <w:szCs w:val="20"/>
        </w:rPr>
        <w:t>Reallocation Recommendations</w:t>
      </w:r>
    </w:p>
    <w:p w14:paraId="1837B250" w14:textId="04B76781" w:rsidR="008C1921" w:rsidRDefault="008C1921" w:rsidP="008C1921">
      <w:pPr>
        <w:pStyle w:val="ListParagraph"/>
        <w:numPr>
          <w:ilvl w:val="0"/>
          <w:numId w:val="27"/>
        </w:numPr>
        <w:ind w:left="360"/>
        <w:rPr>
          <w:rFonts w:ascii="Arial" w:hAnsi="Arial" w:cs="Arial"/>
          <w:sz w:val="20"/>
          <w:szCs w:val="20"/>
        </w:rPr>
      </w:pPr>
      <w:r w:rsidRPr="008C1921">
        <w:rPr>
          <w:rFonts w:ascii="Arial" w:hAnsi="Arial" w:cs="Arial"/>
          <w:sz w:val="20"/>
          <w:szCs w:val="20"/>
        </w:rPr>
        <w:t xml:space="preserve">Erica asked the Board to consider reallocating funding from projects that have a </w:t>
      </w:r>
      <w:r w:rsidR="00751390">
        <w:rPr>
          <w:rFonts w:ascii="Arial" w:hAnsi="Arial" w:cs="Arial"/>
          <w:sz w:val="20"/>
          <w:szCs w:val="20"/>
        </w:rPr>
        <w:t xml:space="preserve">long </w:t>
      </w:r>
      <w:r w:rsidRPr="008C1921">
        <w:rPr>
          <w:rFonts w:ascii="Arial" w:hAnsi="Arial" w:cs="Arial"/>
          <w:sz w:val="20"/>
          <w:szCs w:val="20"/>
        </w:rPr>
        <w:t>history of unspent funds</w:t>
      </w:r>
      <w:r w:rsidR="00861449">
        <w:rPr>
          <w:rFonts w:ascii="Arial" w:hAnsi="Arial" w:cs="Arial"/>
          <w:sz w:val="20"/>
          <w:szCs w:val="20"/>
        </w:rPr>
        <w:t xml:space="preserve"> in excess of $10,000 or 10% of their award amount</w:t>
      </w:r>
      <w:r w:rsidRPr="008C1921">
        <w:rPr>
          <w:rFonts w:ascii="Arial" w:hAnsi="Arial" w:cs="Arial"/>
          <w:sz w:val="20"/>
          <w:szCs w:val="20"/>
        </w:rPr>
        <w:t xml:space="preserve">.  </w:t>
      </w:r>
      <w:r w:rsidR="007C0AEA">
        <w:rPr>
          <w:rFonts w:ascii="Arial" w:hAnsi="Arial" w:cs="Arial"/>
          <w:sz w:val="20"/>
          <w:szCs w:val="20"/>
        </w:rPr>
        <w:t xml:space="preserve">Evaluation on this was supposed to have been part of the project evaluation process in </w:t>
      </w:r>
      <w:r w:rsidRPr="008C1921">
        <w:rPr>
          <w:rFonts w:ascii="Arial" w:hAnsi="Arial" w:cs="Arial"/>
          <w:sz w:val="20"/>
          <w:szCs w:val="20"/>
        </w:rPr>
        <w:t xml:space="preserve">May, but HUD was not able to provide the information at that time.  </w:t>
      </w:r>
    </w:p>
    <w:p w14:paraId="4A6E80BB" w14:textId="41A7F71D" w:rsidR="001644A3" w:rsidRDefault="005405BB" w:rsidP="008C1921">
      <w:pPr>
        <w:pStyle w:val="ListParagraph"/>
        <w:numPr>
          <w:ilvl w:val="0"/>
          <w:numId w:val="27"/>
        </w:numPr>
        <w:ind w:left="360"/>
        <w:rPr>
          <w:rFonts w:ascii="Arial" w:hAnsi="Arial" w:cs="Arial"/>
          <w:sz w:val="20"/>
          <w:szCs w:val="20"/>
        </w:rPr>
      </w:pPr>
      <w:r>
        <w:rPr>
          <w:rFonts w:ascii="Arial" w:hAnsi="Arial" w:cs="Arial"/>
          <w:sz w:val="20"/>
          <w:szCs w:val="20"/>
        </w:rPr>
        <w:t xml:space="preserve">Nathan Blatchley recommended </w:t>
      </w:r>
      <w:r w:rsidR="00B517FF">
        <w:rPr>
          <w:rFonts w:ascii="Arial" w:hAnsi="Arial" w:cs="Arial"/>
          <w:sz w:val="20"/>
          <w:szCs w:val="20"/>
        </w:rPr>
        <w:t>being more aggressive than</w:t>
      </w:r>
      <w:r>
        <w:rPr>
          <w:rFonts w:ascii="Arial" w:hAnsi="Arial" w:cs="Arial"/>
          <w:sz w:val="20"/>
          <w:szCs w:val="20"/>
        </w:rPr>
        <w:t xml:space="preserve"> 10%</w:t>
      </w:r>
      <w:r w:rsidR="00B517FF">
        <w:rPr>
          <w:rFonts w:ascii="Arial" w:hAnsi="Arial" w:cs="Arial"/>
          <w:sz w:val="20"/>
          <w:szCs w:val="20"/>
        </w:rPr>
        <w:t xml:space="preserve"> in identifying projects for unspent funds</w:t>
      </w:r>
      <w:r>
        <w:rPr>
          <w:rFonts w:ascii="Arial" w:hAnsi="Arial" w:cs="Arial"/>
          <w:sz w:val="20"/>
          <w:szCs w:val="20"/>
        </w:rPr>
        <w:t>.</w:t>
      </w:r>
    </w:p>
    <w:p w14:paraId="3F088995" w14:textId="36DF3C7A" w:rsidR="00A30764" w:rsidRDefault="00A30764" w:rsidP="008C1921">
      <w:pPr>
        <w:pStyle w:val="ListParagraph"/>
        <w:numPr>
          <w:ilvl w:val="0"/>
          <w:numId w:val="27"/>
        </w:numPr>
        <w:ind w:left="360"/>
        <w:rPr>
          <w:rFonts w:ascii="Arial" w:hAnsi="Arial" w:cs="Arial"/>
          <w:sz w:val="20"/>
          <w:szCs w:val="20"/>
        </w:rPr>
      </w:pPr>
      <w:r>
        <w:rPr>
          <w:rFonts w:ascii="Arial" w:hAnsi="Arial" w:cs="Arial"/>
          <w:sz w:val="20"/>
          <w:szCs w:val="20"/>
        </w:rPr>
        <w:t xml:space="preserve">Deb Tegtmeyer stated that she is in favor of re-capturing </w:t>
      </w:r>
      <w:r w:rsidR="00D32BA3">
        <w:rPr>
          <w:rFonts w:ascii="Arial" w:hAnsi="Arial" w:cs="Arial"/>
          <w:sz w:val="20"/>
          <w:szCs w:val="20"/>
        </w:rPr>
        <w:t xml:space="preserve">and re-allocating </w:t>
      </w:r>
      <w:r>
        <w:rPr>
          <w:rFonts w:ascii="Arial" w:hAnsi="Arial" w:cs="Arial"/>
          <w:sz w:val="20"/>
          <w:szCs w:val="20"/>
        </w:rPr>
        <w:t>unspent funds</w:t>
      </w:r>
      <w:r w:rsidR="00D32BA3">
        <w:rPr>
          <w:rFonts w:ascii="Arial" w:hAnsi="Arial" w:cs="Arial"/>
          <w:sz w:val="20"/>
          <w:szCs w:val="20"/>
        </w:rPr>
        <w:t>.</w:t>
      </w:r>
      <w:r w:rsidR="00950F55">
        <w:rPr>
          <w:rFonts w:ascii="Arial" w:hAnsi="Arial" w:cs="Arial"/>
          <w:sz w:val="20"/>
          <w:szCs w:val="20"/>
        </w:rPr>
        <w:t xml:space="preserve">  She also recommends that the CoC take this one step further and find the underlying reasons that these projects continue to return money.</w:t>
      </w:r>
    </w:p>
    <w:p w14:paraId="2FBC9BEE" w14:textId="5311F54E" w:rsidR="005C25A8" w:rsidRPr="002F5C93" w:rsidRDefault="00B517FF" w:rsidP="005C25A8">
      <w:pPr>
        <w:pStyle w:val="ListParagraph"/>
        <w:numPr>
          <w:ilvl w:val="0"/>
          <w:numId w:val="27"/>
        </w:numPr>
        <w:ind w:left="360"/>
        <w:rPr>
          <w:rFonts w:ascii="Arial" w:hAnsi="Arial" w:cs="Arial"/>
          <w:sz w:val="20"/>
          <w:szCs w:val="20"/>
        </w:rPr>
      </w:pPr>
      <w:r>
        <w:rPr>
          <w:rFonts w:ascii="Arial" w:hAnsi="Arial" w:cs="Arial"/>
          <w:sz w:val="20"/>
          <w:szCs w:val="20"/>
        </w:rPr>
        <w:t>The Board agreed that CoC staff should obtain an updated eLOCCS expenditures report from HUD in order to identify projects with long histories of unspent funds and then contact the grantees to discuss reallocation of a portion of their funding</w:t>
      </w:r>
      <w:r w:rsidR="002F5C93">
        <w:rPr>
          <w:rFonts w:ascii="Arial" w:hAnsi="Arial" w:cs="Arial"/>
          <w:sz w:val="20"/>
          <w:szCs w:val="20"/>
        </w:rPr>
        <w:t>.  The results of this effort will be presented to the Steering Committee, which will in turn make a recommendation to the Board.  The Board will make the final decision on any funding reallocation.</w:t>
      </w:r>
    </w:p>
    <w:p w14:paraId="777AF0AB" w14:textId="77777777" w:rsidR="0099519C" w:rsidRPr="00383C62" w:rsidRDefault="0099519C" w:rsidP="00335314">
      <w:pPr>
        <w:pStyle w:val="NoSpacing"/>
        <w:ind w:left="1080"/>
        <w:rPr>
          <w:rFonts w:ascii="Arial" w:hAnsi="Arial"/>
          <w:sz w:val="20"/>
          <w:szCs w:val="20"/>
        </w:rPr>
      </w:pPr>
    </w:p>
    <w:p w14:paraId="7EA8CFAD" w14:textId="77777777" w:rsidR="00BC5112" w:rsidRDefault="00BC5112" w:rsidP="005A6C3D">
      <w:pPr>
        <w:pStyle w:val="NoSpacing"/>
        <w:ind w:left="360"/>
        <w:rPr>
          <w:rFonts w:ascii="Arial" w:hAnsi="Arial"/>
          <w:sz w:val="20"/>
          <w:szCs w:val="20"/>
        </w:rPr>
      </w:pPr>
    </w:p>
    <w:p w14:paraId="71B6C882" w14:textId="77777777" w:rsidR="005C25A8" w:rsidRDefault="005C25A8" w:rsidP="005C25A8">
      <w:pPr>
        <w:rPr>
          <w:rFonts w:ascii="Arial" w:hAnsi="Arial"/>
          <w:b/>
          <w:u w:val="single"/>
        </w:rPr>
      </w:pPr>
    </w:p>
    <w:p w14:paraId="0C371545" w14:textId="757A4FD7" w:rsidR="005C25A8" w:rsidRPr="008C5109" w:rsidRDefault="005C25A8" w:rsidP="005C25A8">
      <w:pPr>
        <w:rPr>
          <w:rFonts w:ascii="Arial" w:hAnsi="Arial"/>
          <w:b/>
          <w:u w:val="single"/>
        </w:rPr>
      </w:pPr>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837BD3A" w14:textId="4B8CD954" w:rsidR="005C25A8"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5A6C3D">
        <w:rPr>
          <w:rFonts w:ascii="Arial" w:hAnsi="Arial"/>
          <w:sz w:val="20"/>
          <w:szCs w:val="20"/>
        </w:rPr>
        <w:t>September 18, 2017</w:t>
      </w:r>
    </w:p>
    <w:p w14:paraId="4D6326A6" w14:textId="18CBB304" w:rsidR="005C25A8" w:rsidRDefault="005C25A8" w:rsidP="005C25A8">
      <w:pPr>
        <w:rPr>
          <w:rFonts w:ascii="Arial" w:hAnsi="Arial"/>
          <w:sz w:val="20"/>
          <w:szCs w:val="20"/>
        </w:rPr>
      </w:pPr>
      <w:r w:rsidRPr="004F0242">
        <w:rPr>
          <w:rFonts w:ascii="Arial" w:hAnsi="Arial"/>
          <w:b/>
          <w:sz w:val="20"/>
          <w:szCs w:val="20"/>
        </w:rPr>
        <w:t>Time:</w:t>
      </w:r>
      <w:r>
        <w:rPr>
          <w:rFonts w:ascii="Arial" w:hAnsi="Arial"/>
          <w:sz w:val="20"/>
          <w:szCs w:val="20"/>
        </w:rPr>
        <w:t xml:space="preserve"> </w:t>
      </w:r>
      <w:r>
        <w:rPr>
          <w:rFonts w:ascii="Arial" w:hAnsi="Arial"/>
          <w:sz w:val="20"/>
          <w:szCs w:val="20"/>
        </w:rPr>
        <w:tab/>
      </w:r>
      <w:r>
        <w:rPr>
          <w:rFonts w:ascii="Arial" w:hAnsi="Arial"/>
          <w:sz w:val="20"/>
          <w:szCs w:val="20"/>
        </w:rPr>
        <w:tab/>
        <w:t>1</w:t>
      </w:r>
      <w:r w:rsidR="004A6150">
        <w:rPr>
          <w:rFonts w:ascii="Arial" w:hAnsi="Arial"/>
          <w:sz w:val="20"/>
          <w:szCs w:val="20"/>
        </w:rPr>
        <w:t>0:00a</w:t>
      </w:r>
      <w:r>
        <w:rPr>
          <w:rFonts w:ascii="Arial" w:hAnsi="Arial"/>
          <w:sz w:val="20"/>
          <w:szCs w:val="20"/>
        </w:rPr>
        <w:t>m</w:t>
      </w:r>
    </w:p>
    <w:p w14:paraId="6FCE7A34" w14:textId="77777777" w:rsidR="005C25A8" w:rsidRPr="00012937" w:rsidRDefault="005C25A8" w:rsidP="005C25A8">
      <w:pPr>
        <w:rPr>
          <w:rFonts w:ascii="Arial" w:hAnsi="Arial"/>
          <w:sz w:val="20"/>
          <w:szCs w:val="20"/>
        </w:rPr>
      </w:pPr>
      <w:r>
        <w:rPr>
          <w:rFonts w:ascii="Arial" w:hAnsi="Arial"/>
          <w:b/>
          <w:sz w:val="20"/>
          <w:szCs w:val="20"/>
        </w:rPr>
        <w:t xml:space="preserve">Location:  </w:t>
      </w:r>
      <w:r>
        <w:rPr>
          <w:rFonts w:ascii="Arial" w:hAnsi="Arial"/>
          <w:b/>
          <w:sz w:val="20"/>
          <w:szCs w:val="20"/>
        </w:rPr>
        <w:tab/>
      </w:r>
      <w:r>
        <w:rPr>
          <w:rFonts w:ascii="Arial" w:hAnsi="Arial"/>
          <w:sz w:val="20"/>
          <w:szCs w:val="20"/>
        </w:rPr>
        <w:t>Webinar/conference call</w:t>
      </w:r>
    </w:p>
    <w:p w14:paraId="35A5FA91" w14:textId="77777777" w:rsidR="006F5870" w:rsidRPr="00066348" w:rsidRDefault="006F5870" w:rsidP="001A3B24">
      <w:pPr>
        <w:pStyle w:val="NoSpacing"/>
        <w:rPr>
          <w:rFonts w:ascii="Arial" w:hAnsi="Arial"/>
          <w:sz w:val="20"/>
          <w:szCs w:val="20"/>
        </w:rPr>
      </w:pPr>
    </w:p>
    <w:sectPr w:rsidR="006F5870" w:rsidRPr="00066348" w:rsidSect="00550C19">
      <w:footerReference w:type="default" r:id="rId9"/>
      <w:pgSz w:w="12240" w:h="15840"/>
      <w:pgMar w:top="1080" w:right="1440" w:bottom="25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F496" w14:textId="77777777" w:rsidR="00725EA6" w:rsidRDefault="00725EA6" w:rsidP="008801F5">
      <w:r>
        <w:separator/>
      </w:r>
    </w:p>
  </w:endnote>
  <w:endnote w:type="continuationSeparator" w:id="0">
    <w:p w14:paraId="1CCC1ADF" w14:textId="77777777" w:rsidR="00725EA6" w:rsidRDefault="00725EA6"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8F4A" w14:textId="77777777" w:rsidR="00725EA6" w:rsidRDefault="00725EA6" w:rsidP="00901B67">
    <w:pPr>
      <w:pStyle w:val="Footer"/>
      <w:jc w:val="center"/>
      <w:rPr>
        <w:noProof/>
      </w:rPr>
    </w:pPr>
  </w:p>
  <w:p w14:paraId="36B33795" w14:textId="79FF38FE" w:rsidR="00725EA6" w:rsidRDefault="00725EA6" w:rsidP="00687B67">
    <w:pPr>
      <w:pStyle w:val="Footer"/>
      <w:jc w:val="center"/>
      <w:rPr>
        <w:noProof/>
      </w:rPr>
    </w:pPr>
    <w:r>
      <w:rPr>
        <w:noProof/>
      </w:rPr>
      <w:drawing>
        <wp:inline distT="0" distB="0" distL="0" distR="0" wp14:anchorId="0F5A58A3" wp14:editId="6F49B705">
          <wp:extent cx="538480" cy="910929"/>
          <wp:effectExtent l="0" t="0" r="0" b="3810"/>
          <wp:docPr id="4" name="Picture 4" descr="Macintosh HD:Users:twenty:Dropbox:HMIS &amp; BoSCoC Planning:Ohio BOSCOC:Ohio BoSCoC Branding Materials:sml-bosc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wenty:Dropbox:HMIS &amp; BoSCoC Planning:Ohio BOSCOC:Ohio BoSCoC Branding Materials:sml-bosc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910929"/>
                  </a:xfrm>
                  <a:prstGeom prst="rect">
                    <a:avLst/>
                  </a:prstGeom>
                  <a:noFill/>
                  <a:ln>
                    <a:noFill/>
                  </a:ln>
                </pic:spPr>
              </pic:pic>
            </a:graphicData>
          </a:graphic>
        </wp:inline>
      </w:drawing>
    </w:r>
  </w:p>
  <w:p w14:paraId="627FE032" w14:textId="5F0367E4" w:rsidR="00725EA6" w:rsidRPr="00066348" w:rsidRDefault="00725EA6" w:rsidP="00901B67">
    <w:pPr>
      <w:pStyle w:val="Footer"/>
      <w:jc w:val="center"/>
      <w:rPr>
        <w:rFonts w:ascii="Arial" w:hAnsi="Arial"/>
        <w:sz w:val="20"/>
        <w:szCs w:val="20"/>
      </w:rPr>
    </w:pPr>
    <w:r w:rsidRPr="00066348">
      <w:rPr>
        <w:rStyle w:val="PageNumber"/>
        <w:rFonts w:ascii="Arial" w:hAnsi="Arial"/>
        <w:sz w:val="20"/>
        <w:szCs w:val="20"/>
      </w:rPr>
      <w:fldChar w:fldCharType="begin"/>
    </w:r>
    <w:r w:rsidRPr="00066348">
      <w:rPr>
        <w:rStyle w:val="PageNumber"/>
        <w:rFonts w:ascii="Arial" w:hAnsi="Arial"/>
        <w:sz w:val="20"/>
        <w:szCs w:val="20"/>
      </w:rPr>
      <w:instrText xml:space="preserve"> PAGE </w:instrText>
    </w:r>
    <w:r w:rsidRPr="00066348">
      <w:rPr>
        <w:rStyle w:val="PageNumber"/>
        <w:rFonts w:ascii="Arial" w:hAnsi="Arial"/>
        <w:sz w:val="20"/>
        <w:szCs w:val="20"/>
      </w:rPr>
      <w:fldChar w:fldCharType="separate"/>
    </w:r>
    <w:r w:rsidR="00100B0F">
      <w:rPr>
        <w:rStyle w:val="PageNumber"/>
        <w:rFonts w:ascii="Arial" w:hAnsi="Arial"/>
        <w:noProof/>
        <w:sz w:val="20"/>
        <w:szCs w:val="20"/>
      </w:rPr>
      <w:t>1</w:t>
    </w:r>
    <w:r w:rsidRPr="00066348">
      <w:rPr>
        <w:rStyle w:val="PageNumbe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D492" w14:textId="77777777" w:rsidR="00725EA6" w:rsidRDefault="00725EA6" w:rsidP="008801F5">
      <w:r>
        <w:separator/>
      </w:r>
    </w:p>
  </w:footnote>
  <w:footnote w:type="continuationSeparator" w:id="0">
    <w:p w14:paraId="482F8426" w14:textId="77777777" w:rsidR="00725EA6" w:rsidRDefault="00725EA6"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A39A2"/>
    <w:multiLevelType w:val="hybridMultilevel"/>
    <w:tmpl w:val="CA92B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F2F03"/>
    <w:multiLevelType w:val="hybridMultilevel"/>
    <w:tmpl w:val="A4D28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B1EDA"/>
    <w:multiLevelType w:val="hybridMultilevel"/>
    <w:tmpl w:val="9B36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6570BE"/>
    <w:multiLevelType w:val="hybridMultilevel"/>
    <w:tmpl w:val="F3EA1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1707"/>
    <w:multiLevelType w:val="multilevel"/>
    <w:tmpl w:val="0409001D"/>
    <w:numStyleLink w:val="Style1"/>
  </w:abstractNum>
  <w:abstractNum w:abstractNumId="6">
    <w:nsid w:val="14FA79E1"/>
    <w:multiLevelType w:val="hybridMultilevel"/>
    <w:tmpl w:val="93D86D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6F5EBD"/>
    <w:multiLevelType w:val="hybridMultilevel"/>
    <w:tmpl w:val="50100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DB2040"/>
    <w:multiLevelType w:val="hybridMultilevel"/>
    <w:tmpl w:val="B8147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9935BC"/>
    <w:multiLevelType w:val="hybridMultilevel"/>
    <w:tmpl w:val="756640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F38F0"/>
    <w:multiLevelType w:val="hybridMultilevel"/>
    <w:tmpl w:val="E920E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31F6C"/>
    <w:multiLevelType w:val="hybridMultilevel"/>
    <w:tmpl w:val="76A2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CE5B75"/>
    <w:multiLevelType w:val="multilevel"/>
    <w:tmpl w:val="0409001D"/>
    <w:numStyleLink w:val="BAM1-alldots"/>
  </w:abstractNum>
  <w:abstractNum w:abstractNumId="14">
    <w:nsid w:val="2E0B1E14"/>
    <w:multiLevelType w:val="hybridMultilevel"/>
    <w:tmpl w:val="6B5C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A1DAF"/>
    <w:multiLevelType w:val="hybridMultilevel"/>
    <w:tmpl w:val="088C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05420"/>
    <w:multiLevelType w:val="hybridMultilevel"/>
    <w:tmpl w:val="3D262B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78E5A07"/>
    <w:multiLevelType w:val="hybridMultilevel"/>
    <w:tmpl w:val="1C4AA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B722628"/>
    <w:multiLevelType w:val="hybridMultilevel"/>
    <w:tmpl w:val="2DC09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07B6D"/>
    <w:multiLevelType w:val="multilevel"/>
    <w:tmpl w:val="0409001D"/>
    <w:numStyleLink w:val="BAM1-alldots"/>
  </w:abstractNum>
  <w:abstractNum w:abstractNumId="21">
    <w:nsid w:val="4ED91271"/>
    <w:multiLevelType w:val="hybridMultilevel"/>
    <w:tmpl w:val="7BA28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09F0"/>
    <w:multiLevelType w:val="hybridMultilevel"/>
    <w:tmpl w:val="552CC9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7D1979"/>
    <w:multiLevelType w:val="hybridMultilevel"/>
    <w:tmpl w:val="F2987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994967"/>
    <w:multiLevelType w:val="hybridMultilevel"/>
    <w:tmpl w:val="546E8C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C6744"/>
    <w:multiLevelType w:val="hybridMultilevel"/>
    <w:tmpl w:val="D14E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D0A59"/>
    <w:multiLevelType w:val="hybridMultilevel"/>
    <w:tmpl w:val="7302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384BDF"/>
    <w:multiLevelType w:val="hybridMultilevel"/>
    <w:tmpl w:val="40F45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3"/>
  </w:num>
  <w:num w:numId="4">
    <w:abstractNumId w:val="9"/>
  </w:num>
  <w:num w:numId="5">
    <w:abstractNumId w:val="24"/>
  </w:num>
  <w:num w:numId="6">
    <w:abstractNumId w:val="28"/>
  </w:num>
  <w:num w:numId="7">
    <w:abstractNumId w:val="5"/>
  </w:num>
  <w:num w:numId="8">
    <w:abstractNumId w:val="14"/>
  </w:num>
  <w:num w:numId="9">
    <w:abstractNumId w:val="26"/>
  </w:num>
  <w:num w:numId="10">
    <w:abstractNumId w:val="8"/>
  </w:num>
  <w:num w:numId="11">
    <w:abstractNumId w:val="7"/>
  </w:num>
  <w:num w:numId="12">
    <w:abstractNumId w:val="6"/>
  </w:num>
  <w:num w:numId="13">
    <w:abstractNumId w:val="0"/>
  </w:num>
  <w:num w:numId="14">
    <w:abstractNumId w:val="12"/>
  </w:num>
  <w:num w:numId="15">
    <w:abstractNumId w:val="1"/>
  </w:num>
  <w:num w:numId="16">
    <w:abstractNumId w:val="18"/>
  </w:num>
  <w:num w:numId="17">
    <w:abstractNumId w:val="22"/>
  </w:num>
  <w:num w:numId="18">
    <w:abstractNumId w:val="10"/>
  </w:num>
  <w:num w:numId="19">
    <w:abstractNumId w:val="27"/>
  </w:num>
  <w:num w:numId="20">
    <w:abstractNumId w:val="25"/>
  </w:num>
  <w:num w:numId="21">
    <w:abstractNumId w:val="15"/>
  </w:num>
  <w:num w:numId="22">
    <w:abstractNumId w:val="29"/>
  </w:num>
  <w:num w:numId="23">
    <w:abstractNumId w:val="4"/>
  </w:num>
  <w:num w:numId="24">
    <w:abstractNumId w:val="21"/>
  </w:num>
  <w:num w:numId="25">
    <w:abstractNumId w:val="23"/>
  </w:num>
  <w:num w:numId="26">
    <w:abstractNumId w:val="19"/>
  </w:num>
  <w:num w:numId="27">
    <w:abstractNumId w:val="11"/>
  </w:num>
  <w:num w:numId="28">
    <w:abstractNumId w:val="2"/>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4"/>
    <w:rsid w:val="00005F68"/>
    <w:rsid w:val="00012F1C"/>
    <w:rsid w:val="0001357A"/>
    <w:rsid w:val="000138DF"/>
    <w:rsid w:val="00024E30"/>
    <w:rsid w:val="00027AE7"/>
    <w:rsid w:val="00031CEF"/>
    <w:rsid w:val="000332EB"/>
    <w:rsid w:val="00035E0F"/>
    <w:rsid w:val="00042135"/>
    <w:rsid w:val="00044486"/>
    <w:rsid w:val="00044FCA"/>
    <w:rsid w:val="000602DE"/>
    <w:rsid w:val="00063A87"/>
    <w:rsid w:val="00065949"/>
    <w:rsid w:val="00066348"/>
    <w:rsid w:val="00066EDB"/>
    <w:rsid w:val="0006716F"/>
    <w:rsid w:val="0008072C"/>
    <w:rsid w:val="0008287D"/>
    <w:rsid w:val="00084EBB"/>
    <w:rsid w:val="00086AA5"/>
    <w:rsid w:val="000942FA"/>
    <w:rsid w:val="000B4A1A"/>
    <w:rsid w:val="000C1765"/>
    <w:rsid w:val="000C1FD4"/>
    <w:rsid w:val="000C6B39"/>
    <w:rsid w:val="000D0EAE"/>
    <w:rsid w:val="000E49F3"/>
    <w:rsid w:val="000E4E8E"/>
    <w:rsid w:val="000F3C27"/>
    <w:rsid w:val="00100B0F"/>
    <w:rsid w:val="00103D6C"/>
    <w:rsid w:val="00104D6C"/>
    <w:rsid w:val="00113B71"/>
    <w:rsid w:val="00115672"/>
    <w:rsid w:val="00125CCD"/>
    <w:rsid w:val="00130F3E"/>
    <w:rsid w:val="00151C2A"/>
    <w:rsid w:val="00153140"/>
    <w:rsid w:val="001537F5"/>
    <w:rsid w:val="00162816"/>
    <w:rsid w:val="001644A3"/>
    <w:rsid w:val="00170044"/>
    <w:rsid w:val="00193052"/>
    <w:rsid w:val="001A3B24"/>
    <w:rsid w:val="001D60CA"/>
    <w:rsid w:val="001D62F8"/>
    <w:rsid w:val="001D77E0"/>
    <w:rsid w:val="001D7EE2"/>
    <w:rsid w:val="001F1EF7"/>
    <w:rsid w:val="00221E2D"/>
    <w:rsid w:val="00225733"/>
    <w:rsid w:val="002267D4"/>
    <w:rsid w:val="0022694B"/>
    <w:rsid w:val="00240227"/>
    <w:rsid w:val="00253C54"/>
    <w:rsid w:val="00254EBD"/>
    <w:rsid w:val="00256C5A"/>
    <w:rsid w:val="00260F7F"/>
    <w:rsid w:val="00264FDC"/>
    <w:rsid w:val="00273114"/>
    <w:rsid w:val="00287D00"/>
    <w:rsid w:val="00293726"/>
    <w:rsid w:val="002A2144"/>
    <w:rsid w:val="002B3BD6"/>
    <w:rsid w:val="002C093C"/>
    <w:rsid w:val="002C6257"/>
    <w:rsid w:val="002D1E67"/>
    <w:rsid w:val="002D4870"/>
    <w:rsid w:val="002E6818"/>
    <w:rsid w:val="002E72C7"/>
    <w:rsid w:val="002F5C93"/>
    <w:rsid w:val="00302F2A"/>
    <w:rsid w:val="00307936"/>
    <w:rsid w:val="00310D0A"/>
    <w:rsid w:val="003120C5"/>
    <w:rsid w:val="003133BA"/>
    <w:rsid w:val="0032506E"/>
    <w:rsid w:val="003349A9"/>
    <w:rsid w:val="00334DAF"/>
    <w:rsid w:val="00335314"/>
    <w:rsid w:val="00345AB2"/>
    <w:rsid w:val="00360A67"/>
    <w:rsid w:val="003655CF"/>
    <w:rsid w:val="00366FAC"/>
    <w:rsid w:val="0036725D"/>
    <w:rsid w:val="00367324"/>
    <w:rsid w:val="003975B8"/>
    <w:rsid w:val="003A1615"/>
    <w:rsid w:val="003A1F5D"/>
    <w:rsid w:val="003A2C84"/>
    <w:rsid w:val="003D2583"/>
    <w:rsid w:val="003D3478"/>
    <w:rsid w:val="003D4187"/>
    <w:rsid w:val="003D5FD3"/>
    <w:rsid w:val="003E4FF4"/>
    <w:rsid w:val="003F5D63"/>
    <w:rsid w:val="00400171"/>
    <w:rsid w:val="00401086"/>
    <w:rsid w:val="00406DF1"/>
    <w:rsid w:val="00410454"/>
    <w:rsid w:val="0041476E"/>
    <w:rsid w:val="00426D10"/>
    <w:rsid w:val="00441480"/>
    <w:rsid w:val="004422D5"/>
    <w:rsid w:val="004529F9"/>
    <w:rsid w:val="00463FD4"/>
    <w:rsid w:val="00475F33"/>
    <w:rsid w:val="004760F6"/>
    <w:rsid w:val="004A6150"/>
    <w:rsid w:val="004B44B0"/>
    <w:rsid w:val="004B67D8"/>
    <w:rsid w:val="004B6ADC"/>
    <w:rsid w:val="004C6457"/>
    <w:rsid w:val="004D48B2"/>
    <w:rsid w:val="004E0CF9"/>
    <w:rsid w:val="004E34BB"/>
    <w:rsid w:val="004E4453"/>
    <w:rsid w:val="004F029D"/>
    <w:rsid w:val="004F6B62"/>
    <w:rsid w:val="00502B37"/>
    <w:rsid w:val="00520412"/>
    <w:rsid w:val="005405BB"/>
    <w:rsid w:val="0054445C"/>
    <w:rsid w:val="005447CD"/>
    <w:rsid w:val="00550C19"/>
    <w:rsid w:val="00554B68"/>
    <w:rsid w:val="005565CF"/>
    <w:rsid w:val="00562A86"/>
    <w:rsid w:val="00571B7B"/>
    <w:rsid w:val="00573A17"/>
    <w:rsid w:val="00581015"/>
    <w:rsid w:val="005A00E2"/>
    <w:rsid w:val="005A1A46"/>
    <w:rsid w:val="005A6C3D"/>
    <w:rsid w:val="005C25A8"/>
    <w:rsid w:val="005C40A1"/>
    <w:rsid w:val="005C5321"/>
    <w:rsid w:val="005C7B87"/>
    <w:rsid w:val="005D28EB"/>
    <w:rsid w:val="005E442B"/>
    <w:rsid w:val="005E49CA"/>
    <w:rsid w:val="005E5406"/>
    <w:rsid w:val="005E6174"/>
    <w:rsid w:val="00604B7C"/>
    <w:rsid w:val="006330BA"/>
    <w:rsid w:val="00640E75"/>
    <w:rsid w:val="00657F83"/>
    <w:rsid w:val="00663405"/>
    <w:rsid w:val="00665063"/>
    <w:rsid w:val="00665360"/>
    <w:rsid w:val="00682133"/>
    <w:rsid w:val="00687B67"/>
    <w:rsid w:val="00691C31"/>
    <w:rsid w:val="00696418"/>
    <w:rsid w:val="00696424"/>
    <w:rsid w:val="006A0044"/>
    <w:rsid w:val="006A2871"/>
    <w:rsid w:val="006A4FA0"/>
    <w:rsid w:val="006B78B9"/>
    <w:rsid w:val="006D7272"/>
    <w:rsid w:val="006D74FB"/>
    <w:rsid w:val="006E0A50"/>
    <w:rsid w:val="006E5AB8"/>
    <w:rsid w:val="006E6C73"/>
    <w:rsid w:val="006F516E"/>
    <w:rsid w:val="006F5870"/>
    <w:rsid w:val="006F68BC"/>
    <w:rsid w:val="00703272"/>
    <w:rsid w:val="00703ECB"/>
    <w:rsid w:val="00715602"/>
    <w:rsid w:val="0072241B"/>
    <w:rsid w:val="00725EA6"/>
    <w:rsid w:val="0073409D"/>
    <w:rsid w:val="0073764C"/>
    <w:rsid w:val="00747432"/>
    <w:rsid w:val="00751390"/>
    <w:rsid w:val="00751DB1"/>
    <w:rsid w:val="007609B1"/>
    <w:rsid w:val="0077144B"/>
    <w:rsid w:val="00774C3F"/>
    <w:rsid w:val="00775F2C"/>
    <w:rsid w:val="0078207C"/>
    <w:rsid w:val="0078795A"/>
    <w:rsid w:val="007C0AEA"/>
    <w:rsid w:val="007C22EA"/>
    <w:rsid w:val="007F43FB"/>
    <w:rsid w:val="008041CC"/>
    <w:rsid w:val="0080739E"/>
    <w:rsid w:val="00807BDD"/>
    <w:rsid w:val="00811873"/>
    <w:rsid w:val="00812F4A"/>
    <w:rsid w:val="0081332E"/>
    <w:rsid w:val="008238F0"/>
    <w:rsid w:val="00861449"/>
    <w:rsid w:val="008639DD"/>
    <w:rsid w:val="00867325"/>
    <w:rsid w:val="008752A4"/>
    <w:rsid w:val="008801F5"/>
    <w:rsid w:val="00881DD1"/>
    <w:rsid w:val="00883E57"/>
    <w:rsid w:val="00892DB3"/>
    <w:rsid w:val="008A3F26"/>
    <w:rsid w:val="008A492B"/>
    <w:rsid w:val="008B2886"/>
    <w:rsid w:val="008B2C75"/>
    <w:rsid w:val="008B440E"/>
    <w:rsid w:val="008B57AC"/>
    <w:rsid w:val="008C1335"/>
    <w:rsid w:val="008C1921"/>
    <w:rsid w:val="008C21C3"/>
    <w:rsid w:val="008C34EB"/>
    <w:rsid w:val="008D4D5F"/>
    <w:rsid w:val="008F0F31"/>
    <w:rsid w:val="00901572"/>
    <w:rsid w:val="00901B67"/>
    <w:rsid w:val="00907A43"/>
    <w:rsid w:val="00915653"/>
    <w:rsid w:val="00943EB1"/>
    <w:rsid w:val="00946997"/>
    <w:rsid w:val="00950F55"/>
    <w:rsid w:val="00966190"/>
    <w:rsid w:val="009719AB"/>
    <w:rsid w:val="00972599"/>
    <w:rsid w:val="009729B6"/>
    <w:rsid w:val="00972EFD"/>
    <w:rsid w:val="00975A1B"/>
    <w:rsid w:val="0097783D"/>
    <w:rsid w:val="009817AF"/>
    <w:rsid w:val="009842D5"/>
    <w:rsid w:val="00986ABA"/>
    <w:rsid w:val="0099519C"/>
    <w:rsid w:val="009A14A2"/>
    <w:rsid w:val="009A4DD0"/>
    <w:rsid w:val="009E1845"/>
    <w:rsid w:val="009F30D8"/>
    <w:rsid w:val="009F78D4"/>
    <w:rsid w:val="00A007CB"/>
    <w:rsid w:val="00A1040B"/>
    <w:rsid w:val="00A114DF"/>
    <w:rsid w:val="00A20D3D"/>
    <w:rsid w:val="00A20EBE"/>
    <w:rsid w:val="00A23885"/>
    <w:rsid w:val="00A30764"/>
    <w:rsid w:val="00A31BAC"/>
    <w:rsid w:val="00A44F6F"/>
    <w:rsid w:val="00A53FF2"/>
    <w:rsid w:val="00A56A5D"/>
    <w:rsid w:val="00A57DE4"/>
    <w:rsid w:val="00A80B73"/>
    <w:rsid w:val="00A92300"/>
    <w:rsid w:val="00A935B5"/>
    <w:rsid w:val="00A96C1D"/>
    <w:rsid w:val="00AA2FD7"/>
    <w:rsid w:val="00AA7E76"/>
    <w:rsid w:val="00AC0B80"/>
    <w:rsid w:val="00AF3021"/>
    <w:rsid w:val="00AF79FE"/>
    <w:rsid w:val="00B075D4"/>
    <w:rsid w:val="00B252BB"/>
    <w:rsid w:val="00B32657"/>
    <w:rsid w:val="00B419F9"/>
    <w:rsid w:val="00B462E6"/>
    <w:rsid w:val="00B47662"/>
    <w:rsid w:val="00B517FF"/>
    <w:rsid w:val="00B5243B"/>
    <w:rsid w:val="00B526F1"/>
    <w:rsid w:val="00B5335E"/>
    <w:rsid w:val="00B71A32"/>
    <w:rsid w:val="00B73EB6"/>
    <w:rsid w:val="00B768F8"/>
    <w:rsid w:val="00B7739D"/>
    <w:rsid w:val="00B85546"/>
    <w:rsid w:val="00B86F70"/>
    <w:rsid w:val="00B977E2"/>
    <w:rsid w:val="00BA3AEB"/>
    <w:rsid w:val="00BA4DCD"/>
    <w:rsid w:val="00BC5112"/>
    <w:rsid w:val="00BC6EB3"/>
    <w:rsid w:val="00BD4500"/>
    <w:rsid w:val="00BF5660"/>
    <w:rsid w:val="00C16EC0"/>
    <w:rsid w:val="00C2001C"/>
    <w:rsid w:val="00C2584C"/>
    <w:rsid w:val="00C26205"/>
    <w:rsid w:val="00C32A8E"/>
    <w:rsid w:val="00C347E8"/>
    <w:rsid w:val="00C37D78"/>
    <w:rsid w:val="00C473D9"/>
    <w:rsid w:val="00C57E43"/>
    <w:rsid w:val="00C6056E"/>
    <w:rsid w:val="00C67733"/>
    <w:rsid w:val="00C67884"/>
    <w:rsid w:val="00C7529A"/>
    <w:rsid w:val="00C77A14"/>
    <w:rsid w:val="00C90A6D"/>
    <w:rsid w:val="00CA0005"/>
    <w:rsid w:val="00CA714C"/>
    <w:rsid w:val="00CB15B1"/>
    <w:rsid w:val="00CB3695"/>
    <w:rsid w:val="00CD34FF"/>
    <w:rsid w:val="00CE56DB"/>
    <w:rsid w:val="00CE5E46"/>
    <w:rsid w:val="00D0295F"/>
    <w:rsid w:val="00D0662F"/>
    <w:rsid w:val="00D1299E"/>
    <w:rsid w:val="00D13D7E"/>
    <w:rsid w:val="00D32BA3"/>
    <w:rsid w:val="00D32FC7"/>
    <w:rsid w:val="00D3571E"/>
    <w:rsid w:val="00D36DE3"/>
    <w:rsid w:val="00D40567"/>
    <w:rsid w:val="00D67A1C"/>
    <w:rsid w:val="00D92288"/>
    <w:rsid w:val="00DB7FE1"/>
    <w:rsid w:val="00DD1C1B"/>
    <w:rsid w:val="00DD1CD8"/>
    <w:rsid w:val="00DD28F1"/>
    <w:rsid w:val="00DD647F"/>
    <w:rsid w:val="00DE3041"/>
    <w:rsid w:val="00DF4CDC"/>
    <w:rsid w:val="00E02D1E"/>
    <w:rsid w:val="00E11A21"/>
    <w:rsid w:val="00E25442"/>
    <w:rsid w:val="00E25B09"/>
    <w:rsid w:val="00E37268"/>
    <w:rsid w:val="00E37E8A"/>
    <w:rsid w:val="00E412F6"/>
    <w:rsid w:val="00E45D8A"/>
    <w:rsid w:val="00E60F39"/>
    <w:rsid w:val="00E6336E"/>
    <w:rsid w:val="00E731B3"/>
    <w:rsid w:val="00E81D56"/>
    <w:rsid w:val="00E87B8F"/>
    <w:rsid w:val="00EB2758"/>
    <w:rsid w:val="00EB3D7A"/>
    <w:rsid w:val="00EB539C"/>
    <w:rsid w:val="00EE44B0"/>
    <w:rsid w:val="00EF1424"/>
    <w:rsid w:val="00EF163C"/>
    <w:rsid w:val="00F02FD9"/>
    <w:rsid w:val="00F0713B"/>
    <w:rsid w:val="00F16A45"/>
    <w:rsid w:val="00F255C1"/>
    <w:rsid w:val="00F41EBA"/>
    <w:rsid w:val="00F5415B"/>
    <w:rsid w:val="00F54B1A"/>
    <w:rsid w:val="00F61FD9"/>
    <w:rsid w:val="00F6299F"/>
    <w:rsid w:val="00F679A2"/>
    <w:rsid w:val="00F90277"/>
    <w:rsid w:val="00F90989"/>
    <w:rsid w:val="00FA2FBB"/>
    <w:rsid w:val="00FC1AA0"/>
    <w:rsid w:val="00FC5270"/>
    <w:rsid w:val="00FC5C28"/>
    <w:rsid w:val="00FC7804"/>
    <w:rsid w:val="00FC7C92"/>
    <w:rsid w:val="00FD1F0D"/>
    <w:rsid w:val="00FD4F39"/>
    <w:rsid w:val="00FE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C7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Library:Application%20Support:Microsoft:Office:User%20Templates:My%20Template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3141-2742-F740-AA02-8440C1CA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2.dotx</Template>
  <TotalTime>342</TotalTime>
  <Pages>3</Pages>
  <Words>702</Words>
  <Characters>4005</Characters>
  <Application>Microsoft Macintosh Word</Application>
  <DocSecurity>0</DocSecurity>
  <Lines>33</Lines>
  <Paragraphs>9</Paragraphs>
  <ScaleCrop>false</ScaleCrop>
  <Company>COHHIO</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Barbara Miller</cp:lastModifiedBy>
  <cp:revision>114</cp:revision>
  <cp:lastPrinted>2017-05-03T15:59:00Z</cp:lastPrinted>
  <dcterms:created xsi:type="dcterms:W3CDTF">2017-05-23T18:13:00Z</dcterms:created>
  <dcterms:modified xsi:type="dcterms:W3CDTF">2017-08-21T17:23:00Z</dcterms:modified>
</cp:coreProperties>
</file>